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46" w:rsidRDefault="00650385" w:rsidP="009B5A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 21 марта 2018</w:t>
      </w:r>
    </w:p>
    <w:p w:rsidR="000F02D2" w:rsidRDefault="000F02D2" w:rsidP="009B5AEC">
      <w:pPr>
        <w:pStyle w:val="a3"/>
        <w:kinsoku w:val="0"/>
        <w:overflowPunct w:val="0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="MS PGothic"/>
          <w:b/>
          <w:bCs/>
          <w:sz w:val="28"/>
          <w:szCs w:val="28"/>
        </w:rPr>
      </w:pPr>
      <w:proofErr w:type="spellStart"/>
      <w:r w:rsidRPr="008A2199">
        <w:rPr>
          <w:b/>
          <w:sz w:val="28"/>
          <w:szCs w:val="28"/>
        </w:rPr>
        <w:t>Козинина</w:t>
      </w:r>
      <w:proofErr w:type="spellEnd"/>
      <w:r w:rsidRPr="008A2199">
        <w:rPr>
          <w:b/>
          <w:sz w:val="28"/>
          <w:szCs w:val="28"/>
        </w:rPr>
        <w:t xml:space="preserve"> О.Г. «</w:t>
      </w:r>
      <w:r w:rsidRPr="008A2199">
        <w:rPr>
          <w:rFonts w:eastAsia="MS PGothic"/>
          <w:b/>
          <w:bCs/>
          <w:sz w:val="28"/>
          <w:szCs w:val="28"/>
        </w:rPr>
        <w:t xml:space="preserve">Актуальные вопросы пресечения ненадлежащей рекламы </w:t>
      </w:r>
      <w:r w:rsidR="0062278D">
        <w:rPr>
          <w:rFonts w:eastAsia="MS PGothic"/>
          <w:b/>
          <w:bCs/>
          <w:sz w:val="28"/>
          <w:szCs w:val="28"/>
        </w:rPr>
        <w:t xml:space="preserve">и недобросовестной конкуренции </w:t>
      </w:r>
      <w:bookmarkStart w:id="0" w:name="_GoBack"/>
      <w:bookmarkEnd w:id="0"/>
      <w:r w:rsidRPr="008A2199">
        <w:rPr>
          <w:rFonts w:eastAsia="MS PGothic"/>
          <w:b/>
          <w:bCs/>
          <w:sz w:val="28"/>
          <w:szCs w:val="28"/>
        </w:rPr>
        <w:t>в 2017</w:t>
      </w:r>
      <w:r>
        <w:rPr>
          <w:rFonts w:eastAsia="MS PGothic"/>
          <w:b/>
          <w:bCs/>
          <w:sz w:val="28"/>
          <w:szCs w:val="28"/>
        </w:rPr>
        <w:t xml:space="preserve"> – 1 квартале 2018</w:t>
      </w:r>
      <w:r w:rsidRPr="008A2199">
        <w:rPr>
          <w:rFonts w:eastAsia="MS PGothic"/>
          <w:b/>
          <w:bCs/>
          <w:sz w:val="28"/>
          <w:szCs w:val="28"/>
        </w:rPr>
        <w:t xml:space="preserve"> г.»</w:t>
      </w:r>
    </w:p>
    <w:p w:rsidR="000F02D2" w:rsidRPr="000F02D2" w:rsidRDefault="000F02D2" w:rsidP="009B5AEC">
      <w:pPr>
        <w:pStyle w:val="a3"/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eastAsia="MS PGothic"/>
          <w:bCs/>
          <w:sz w:val="28"/>
          <w:szCs w:val="28"/>
        </w:rPr>
      </w:pPr>
      <w:r w:rsidRPr="000F02D2">
        <w:rPr>
          <w:rFonts w:eastAsia="MS PGothic"/>
          <w:bCs/>
          <w:sz w:val="28"/>
          <w:szCs w:val="28"/>
        </w:rPr>
        <w:t xml:space="preserve">В соответствии с функциями по контролю законодательства о рекламе и пресечению недобросовестной конкуренции </w:t>
      </w:r>
      <w:r>
        <w:rPr>
          <w:rFonts w:eastAsia="MS PGothic"/>
          <w:bCs/>
          <w:sz w:val="28"/>
          <w:szCs w:val="28"/>
        </w:rPr>
        <w:t>управлением была проделана следующая работа: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1"/>
        <w:gridCol w:w="1398"/>
        <w:gridCol w:w="1519"/>
        <w:gridCol w:w="1634"/>
        <w:gridCol w:w="1634"/>
        <w:gridCol w:w="1705"/>
      </w:tblGrid>
      <w:tr w:rsidR="000F02D2" w:rsidTr="00BE36A9">
        <w:tc>
          <w:tcPr>
            <w:tcW w:w="1681" w:type="dxa"/>
          </w:tcPr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A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решений о признании нарушений</w:t>
            </w:r>
          </w:p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 предписаний</w:t>
            </w:r>
          </w:p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 предписаний</w:t>
            </w:r>
          </w:p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A9">
              <w:rPr>
                <w:rFonts w:ascii="Times New Roman" w:hAnsi="Times New Roman" w:cs="Times New Roman"/>
                <w:b/>
                <w:sz w:val="24"/>
                <w:szCs w:val="24"/>
              </w:rPr>
              <w:t>Обжалование решений и предписаний</w:t>
            </w:r>
          </w:p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D2" w:rsidTr="00BE36A9">
        <w:tc>
          <w:tcPr>
            <w:tcW w:w="1681" w:type="dxa"/>
            <w:vMerge w:val="restart"/>
          </w:tcPr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реклама</w:t>
            </w:r>
          </w:p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0F02D2" w:rsidRPr="00BE36A9" w:rsidRDefault="000F02D2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/>
                <w:bCs/>
                <w:kern w:val="24"/>
              </w:rPr>
              <w:t>2016</w:t>
            </w:r>
          </w:p>
        </w:tc>
        <w:tc>
          <w:tcPr>
            <w:tcW w:w="1519" w:type="dxa"/>
          </w:tcPr>
          <w:p w:rsidR="000F02D2" w:rsidRPr="00BE36A9" w:rsidRDefault="000F02D2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kern w:val="24"/>
              </w:rPr>
              <w:t>41</w:t>
            </w:r>
          </w:p>
        </w:tc>
        <w:tc>
          <w:tcPr>
            <w:tcW w:w="1634" w:type="dxa"/>
          </w:tcPr>
          <w:p w:rsidR="000F02D2" w:rsidRPr="00BE36A9" w:rsidRDefault="000F02D2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kern w:val="24"/>
              </w:rPr>
              <w:t>44</w:t>
            </w:r>
          </w:p>
        </w:tc>
        <w:tc>
          <w:tcPr>
            <w:tcW w:w="1634" w:type="dxa"/>
          </w:tcPr>
          <w:p w:rsidR="000F02D2" w:rsidRPr="00BE36A9" w:rsidRDefault="000F02D2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kern w:val="24"/>
              </w:rPr>
              <w:t>44</w:t>
            </w:r>
          </w:p>
        </w:tc>
        <w:tc>
          <w:tcPr>
            <w:tcW w:w="1705" w:type="dxa"/>
          </w:tcPr>
          <w:p w:rsidR="000F02D2" w:rsidRPr="00BE36A9" w:rsidRDefault="000F02D2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kern w:val="24"/>
              </w:rPr>
              <w:t>решения и предписания не обжаловались</w:t>
            </w:r>
          </w:p>
        </w:tc>
      </w:tr>
      <w:tr w:rsidR="000F02D2" w:rsidTr="00BE36A9">
        <w:tc>
          <w:tcPr>
            <w:tcW w:w="1681" w:type="dxa"/>
            <w:vMerge/>
          </w:tcPr>
          <w:p w:rsidR="000F02D2" w:rsidRPr="00BE36A9" w:rsidRDefault="000F02D2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0F02D2" w:rsidRPr="00BE36A9" w:rsidRDefault="000F02D2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/>
                <w:bCs/>
                <w:kern w:val="24"/>
              </w:rPr>
              <w:t xml:space="preserve">2017 – </w:t>
            </w:r>
          </w:p>
          <w:p w:rsidR="000F02D2" w:rsidRPr="00BE36A9" w:rsidRDefault="000F02D2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/>
                <w:bCs/>
                <w:kern w:val="24"/>
              </w:rPr>
              <w:t>1 кв. 2018</w:t>
            </w:r>
          </w:p>
        </w:tc>
        <w:tc>
          <w:tcPr>
            <w:tcW w:w="1519" w:type="dxa"/>
          </w:tcPr>
          <w:p w:rsidR="000F02D2" w:rsidRPr="00BE36A9" w:rsidRDefault="003F49CE" w:rsidP="009B5AEC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kern w:val="24"/>
              </w:rPr>
              <w:t>16</w:t>
            </w:r>
          </w:p>
        </w:tc>
        <w:tc>
          <w:tcPr>
            <w:tcW w:w="1634" w:type="dxa"/>
          </w:tcPr>
          <w:p w:rsidR="000F02D2" w:rsidRPr="00BE36A9" w:rsidRDefault="003F49CE" w:rsidP="009B5AEC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kern w:val="24"/>
              </w:rPr>
              <w:t>15</w:t>
            </w:r>
          </w:p>
        </w:tc>
        <w:tc>
          <w:tcPr>
            <w:tcW w:w="1634" w:type="dxa"/>
          </w:tcPr>
          <w:p w:rsidR="000F02D2" w:rsidRPr="00BE36A9" w:rsidRDefault="003F49CE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MS PGothic"/>
                <w:bCs/>
                <w:kern w:val="24"/>
              </w:rPr>
              <w:t>14 (1</w:t>
            </w:r>
            <w:r w:rsidR="000F02D2" w:rsidRPr="00BE36A9">
              <w:rPr>
                <w:rFonts w:eastAsia="MS PGothic"/>
                <w:bCs/>
                <w:kern w:val="24"/>
              </w:rPr>
              <w:t xml:space="preserve"> в стадии исполнения)</w:t>
            </w:r>
          </w:p>
        </w:tc>
        <w:tc>
          <w:tcPr>
            <w:tcW w:w="1705" w:type="dxa"/>
          </w:tcPr>
          <w:p w:rsidR="000F02D2" w:rsidRPr="00BE36A9" w:rsidRDefault="000F02D2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kern w:val="24"/>
              </w:rPr>
              <w:t>решения и предписания не обжаловались</w:t>
            </w:r>
          </w:p>
        </w:tc>
      </w:tr>
      <w:tr w:rsidR="00BE36A9" w:rsidTr="00BE36A9">
        <w:tc>
          <w:tcPr>
            <w:tcW w:w="1681" w:type="dxa"/>
            <w:vMerge w:val="restart"/>
          </w:tcPr>
          <w:p w:rsidR="00BE36A9" w:rsidRPr="00BE36A9" w:rsidRDefault="00BE36A9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НДК</w:t>
            </w:r>
          </w:p>
          <w:p w:rsidR="00BE36A9" w:rsidRPr="00BE36A9" w:rsidRDefault="00BE36A9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/>
                <w:bCs/>
                <w:kern w:val="24"/>
              </w:rPr>
              <w:t>2016</w:t>
            </w:r>
          </w:p>
        </w:tc>
        <w:tc>
          <w:tcPr>
            <w:tcW w:w="1519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Cs/>
                <w:kern w:val="24"/>
              </w:rPr>
              <w:t>1</w:t>
            </w:r>
          </w:p>
        </w:tc>
        <w:tc>
          <w:tcPr>
            <w:tcW w:w="1634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Cs/>
                <w:kern w:val="24"/>
              </w:rPr>
              <w:t>32</w:t>
            </w:r>
          </w:p>
        </w:tc>
        <w:tc>
          <w:tcPr>
            <w:tcW w:w="1634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kern w:val="24"/>
              </w:rPr>
              <w:t>-</w:t>
            </w:r>
          </w:p>
        </w:tc>
        <w:tc>
          <w:tcPr>
            <w:tcW w:w="1705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kern w:val="24"/>
              </w:rPr>
              <w:t xml:space="preserve">32 предписания в стадии судебного обжалования </w:t>
            </w:r>
          </w:p>
        </w:tc>
      </w:tr>
      <w:tr w:rsidR="00BE36A9" w:rsidTr="00BE36A9">
        <w:tc>
          <w:tcPr>
            <w:tcW w:w="1681" w:type="dxa"/>
            <w:vMerge/>
          </w:tcPr>
          <w:p w:rsidR="00BE36A9" w:rsidRPr="00BE36A9" w:rsidRDefault="00BE36A9" w:rsidP="009B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/>
                <w:bCs/>
                <w:kern w:val="24"/>
              </w:rPr>
              <w:t xml:space="preserve">2017 – </w:t>
            </w:r>
          </w:p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/>
                <w:bCs/>
                <w:kern w:val="24"/>
              </w:rPr>
              <w:t>1 кв. 2018</w:t>
            </w:r>
          </w:p>
        </w:tc>
        <w:tc>
          <w:tcPr>
            <w:tcW w:w="1519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Cs/>
                <w:kern w:val="24"/>
              </w:rPr>
              <w:t>5</w:t>
            </w:r>
          </w:p>
        </w:tc>
        <w:tc>
          <w:tcPr>
            <w:tcW w:w="1634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bCs/>
                <w:kern w:val="24"/>
              </w:rPr>
              <w:t>4</w:t>
            </w:r>
          </w:p>
        </w:tc>
        <w:tc>
          <w:tcPr>
            <w:tcW w:w="1634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kern w:val="24"/>
              </w:rPr>
              <w:t>2</w:t>
            </w:r>
          </w:p>
        </w:tc>
        <w:tc>
          <w:tcPr>
            <w:tcW w:w="1705" w:type="dxa"/>
          </w:tcPr>
          <w:p w:rsidR="00BE36A9" w:rsidRPr="00BE36A9" w:rsidRDefault="00BE36A9" w:rsidP="009B5AE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E36A9">
              <w:rPr>
                <w:rFonts w:eastAsia="MS PGothic"/>
                <w:kern w:val="24"/>
              </w:rPr>
              <w:t xml:space="preserve">2 предписания в стадии судебного обжалования </w:t>
            </w:r>
          </w:p>
        </w:tc>
      </w:tr>
    </w:tbl>
    <w:p w:rsidR="00BE36A9" w:rsidRDefault="00BE36A9" w:rsidP="009B5AEC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BE36A9" w:rsidRDefault="00BE36A9" w:rsidP="009B5AEC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</w:t>
      </w:r>
      <w:r w:rsidRPr="00BE3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труктура выявленных нарушений ФЗ «О рекламе в  2017 году – </w:t>
      </w:r>
    </w:p>
    <w:p w:rsidR="00BE36A9" w:rsidRDefault="00BE36A9" w:rsidP="009B5AEC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E3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 </w:t>
      </w:r>
      <w:proofErr w:type="gramStart"/>
      <w:r w:rsidRPr="00BE3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квартале</w:t>
      </w:r>
      <w:proofErr w:type="gramEnd"/>
      <w:r w:rsidRPr="00BE3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2018 года</w:t>
      </w:r>
    </w:p>
    <w:p w:rsidR="000F02D2" w:rsidRPr="009A217C" w:rsidRDefault="009A217C" w:rsidP="009A21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17C">
        <w:rPr>
          <w:rFonts w:ascii="Times New Roman" w:hAnsi="Times New Roman" w:cs="Times New Roman"/>
          <w:sz w:val="28"/>
          <w:szCs w:val="28"/>
        </w:rPr>
        <w:t>Реклама, распространяемая по сетям электросвязи без согласия абонента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A217C">
        <w:rPr>
          <w:rFonts w:ascii="Times New Roman" w:hAnsi="Times New Roman" w:cs="Times New Roman"/>
          <w:sz w:val="28"/>
          <w:szCs w:val="28"/>
        </w:rPr>
        <w:t>28% нарушений;</w:t>
      </w:r>
    </w:p>
    <w:p w:rsidR="009A217C" w:rsidRPr="009A217C" w:rsidRDefault="009A217C" w:rsidP="009A21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17C">
        <w:rPr>
          <w:rFonts w:ascii="Times New Roman" w:hAnsi="Times New Roman" w:cs="Times New Roman"/>
          <w:sz w:val="28"/>
          <w:szCs w:val="28"/>
        </w:rPr>
        <w:t>Недостоверная реклама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A217C">
        <w:rPr>
          <w:rFonts w:ascii="Times New Roman" w:hAnsi="Times New Roman" w:cs="Times New Roman"/>
          <w:sz w:val="28"/>
          <w:szCs w:val="28"/>
        </w:rPr>
        <w:t>28% нарушений;</w:t>
      </w:r>
    </w:p>
    <w:p w:rsidR="009A217C" w:rsidRDefault="009A217C" w:rsidP="009A21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17C">
        <w:rPr>
          <w:rFonts w:ascii="Times New Roman" w:hAnsi="Times New Roman" w:cs="Times New Roman"/>
          <w:sz w:val="28"/>
          <w:szCs w:val="28"/>
        </w:rPr>
        <w:t>Отсутствие в рекламе части существенной информации – 11% нарушений;</w:t>
      </w:r>
    </w:p>
    <w:p w:rsidR="009A217C" w:rsidRDefault="009A217C" w:rsidP="009A21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Ненадлежащая реклама долевого строительства - </w:t>
      </w:r>
      <w:r w:rsidRPr="009A217C">
        <w:rPr>
          <w:rFonts w:ascii="Times New Roman" w:hAnsi="Times New Roman" w:cs="Times New Roman"/>
          <w:sz w:val="28"/>
          <w:szCs w:val="28"/>
        </w:rPr>
        <w:t>11% нарушений;</w:t>
      </w:r>
    </w:p>
    <w:p w:rsidR="009A217C" w:rsidRPr="009A217C" w:rsidRDefault="009A217C" w:rsidP="009A21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нарушения – 22% нарушений</w:t>
      </w:r>
    </w:p>
    <w:p w:rsidR="009A2146" w:rsidRDefault="009A2146" w:rsidP="009B5AEC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1718E3" w:rsidRPr="001718E3" w:rsidRDefault="001718E3" w:rsidP="009B5AE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718E3">
        <w:rPr>
          <w:rFonts w:eastAsiaTheme="minorEastAsia"/>
          <w:b/>
          <w:bCs/>
          <w:kern w:val="24"/>
          <w:sz w:val="28"/>
          <w:szCs w:val="28"/>
        </w:rPr>
        <w:lastRenderedPageBreak/>
        <w:t>Нарушение части 3 статьи 5 (недостоверная реклама) – 28 % нарушений</w:t>
      </w:r>
    </w:p>
    <w:p w:rsidR="001718E3" w:rsidRPr="001718E3" w:rsidRDefault="001718E3" w:rsidP="009B5A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1718E3">
        <w:rPr>
          <w:rFonts w:eastAsiaTheme="minorEastAsia"/>
          <w:bCs/>
          <w:i/>
          <w:iCs/>
          <w:kern w:val="24"/>
          <w:sz w:val="28"/>
          <w:szCs w:val="28"/>
        </w:rPr>
        <w:t xml:space="preserve">использование в рекламе слов «лучший», «самый», «№1»  без указания конкретного критерия  </w:t>
      </w:r>
      <w:r w:rsidRPr="001718E3">
        <w:rPr>
          <w:rFonts w:eastAsiaTheme="minorEastAsia"/>
          <w:bCs/>
          <w:kern w:val="24"/>
          <w:sz w:val="28"/>
          <w:szCs w:val="28"/>
        </w:rPr>
        <w:t>(недостоверная реклама о преимуществах товара либо производителя/продавца)</w:t>
      </w:r>
    </w:p>
    <w:p w:rsidR="001718E3" w:rsidRPr="001718E3" w:rsidRDefault="001718E3" w:rsidP="009B5A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1718E3">
        <w:rPr>
          <w:rFonts w:eastAsiaTheme="minorEastAsia"/>
          <w:bCs/>
          <w:i/>
          <w:iCs/>
          <w:kern w:val="24"/>
          <w:sz w:val="28"/>
          <w:szCs w:val="28"/>
        </w:rPr>
        <w:t xml:space="preserve">реклама, содержащая несоответствующие действительности сведения о каких-либо характеристиках товара, о возможности получения услуги и т.д. </w:t>
      </w:r>
      <w:r w:rsidRPr="001718E3">
        <w:rPr>
          <w:rFonts w:eastAsiaTheme="minorEastAsia"/>
          <w:bCs/>
          <w:kern w:val="24"/>
          <w:sz w:val="28"/>
          <w:szCs w:val="28"/>
        </w:rPr>
        <w:t>(недостоверная реклама о товаре/услуге в широком смысле)</w:t>
      </w:r>
    </w:p>
    <w:p w:rsidR="001718E3" w:rsidRPr="001718E3" w:rsidRDefault="001718E3" w:rsidP="009B5A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E3">
        <w:rPr>
          <w:rFonts w:ascii="Times New Roman" w:hAnsi="Times New Roman" w:cs="Times New Roman"/>
          <w:b/>
          <w:sz w:val="28"/>
          <w:szCs w:val="28"/>
        </w:rPr>
        <w:t>Нарушение части 1 статьи 18 ФЗ «О рекламе» - 28 % нарушений</w:t>
      </w:r>
    </w:p>
    <w:p w:rsidR="00BE36A9" w:rsidRDefault="001718E3" w:rsidP="009B5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18 ФЗ «О рекламе», р</w:t>
      </w:r>
      <w:r w:rsidRPr="001718E3">
        <w:rPr>
          <w:rFonts w:ascii="Times New Roman" w:hAnsi="Times New Roman" w:cs="Times New Roman"/>
          <w:sz w:val="28"/>
          <w:szCs w:val="28"/>
        </w:rPr>
        <w:t>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</w:t>
      </w:r>
    </w:p>
    <w:p w:rsidR="001718E3" w:rsidRPr="001718E3" w:rsidRDefault="001718E3" w:rsidP="009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18E3">
        <w:rPr>
          <w:rFonts w:eastAsiaTheme="minorEastAsia"/>
          <w:b/>
          <w:bCs/>
          <w:kern w:val="24"/>
          <w:sz w:val="28"/>
          <w:szCs w:val="28"/>
        </w:rPr>
        <w:t>Примеры нарушения статьи 18 ФЗ «О рекламе»</w:t>
      </w:r>
    </w:p>
    <w:p w:rsidR="001718E3" w:rsidRPr="001718E3" w:rsidRDefault="001718E3" w:rsidP="009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18E3">
        <w:rPr>
          <w:rFonts w:eastAsiaTheme="minorEastAsia"/>
          <w:b/>
          <w:bCs/>
          <w:kern w:val="24"/>
          <w:sz w:val="28"/>
          <w:szCs w:val="28"/>
        </w:rPr>
        <w:t xml:space="preserve">1.  </w:t>
      </w:r>
      <w:r w:rsidRPr="001718E3">
        <w:rPr>
          <w:rFonts w:eastAsiaTheme="minorEastAsia"/>
          <w:b/>
          <w:bCs/>
          <w:kern w:val="24"/>
          <w:sz w:val="28"/>
          <w:szCs w:val="28"/>
          <w:u w:val="single"/>
        </w:rPr>
        <w:t>Дело № 655-120р</w:t>
      </w:r>
    </w:p>
    <w:p w:rsidR="00B20617" w:rsidRPr="00B20617" w:rsidRDefault="00B20617" w:rsidP="009B5AEC">
      <w:pPr>
        <w:suppressAutoHyphens/>
        <w:autoSpaceDE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617">
        <w:rPr>
          <w:rFonts w:ascii="Times New Roman" w:eastAsia="Courier New" w:hAnsi="Times New Roman" w:cs="Times New Roman"/>
          <w:sz w:val="28"/>
          <w:szCs w:val="28"/>
        </w:rPr>
        <w:t>В Воронежское УФАС России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поступило обращение гражданина. Заявитель </w:t>
      </w: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указал, что</w:t>
      </w:r>
      <w:r w:rsidRPr="00B20617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его телефонный номер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 его согласия </w:t>
      </w: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поступило SMS-сообщение рекламного характера следующего содержания:</w:t>
      </w:r>
    </w:p>
    <w:p w:rsidR="001718E3" w:rsidRDefault="00B20617" w:rsidP="009B5AEC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B20617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 xml:space="preserve">«Привет, Антон! 85 руб. за пачку - максимальная розничная цена на </w:t>
      </w:r>
      <w:r w:rsidRPr="00B20617">
        <w:rPr>
          <w:rFonts w:ascii="Times New Roman" w:eastAsia="Arial" w:hAnsi="Times New Roman" w:cs="Times New Roman"/>
          <w:b/>
          <w:i/>
          <w:sz w:val="28"/>
          <w:szCs w:val="28"/>
          <w:lang w:val="en-US" w:eastAsia="ar-SA"/>
        </w:rPr>
        <w:t>BOND</w:t>
      </w:r>
      <w:r w:rsidRPr="00B20617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b/>
          <w:i/>
          <w:sz w:val="28"/>
          <w:szCs w:val="28"/>
          <w:lang w:val="en-US" w:eastAsia="ar-SA"/>
        </w:rPr>
        <w:t>STREET</w:t>
      </w:r>
      <w:r w:rsidRPr="00B20617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b/>
          <w:i/>
          <w:sz w:val="28"/>
          <w:szCs w:val="28"/>
          <w:lang w:val="en-US" w:eastAsia="ar-SA"/>
        </w:rPr>
        <w:t>Compact</w:t>
      </w:r>
      <w:r w:rsidRPr="00B20617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b/>
          <w:i/>
          <w:sz w:val="28"/>
          <w:szCs w:val="28"/>
          <w:lang w:val="en-US" w:eastAsia="ar-SA"/>
        </w:rPr>
        <w:t>Premium</w:t>
      </w:r>
      <w:r w:rsidRPr="00B20617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 xml:space="preserve"> в большинстве магазинов твоего города. Компактный формат, мягкий вкус, доступная цена. Вопросы? 8 800 200 0505»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В ходе рассмотрения заявления было установлено, что рекламодателем рассматриваемой рекламы является 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ООО </w:t>
      </w:r>
      <w:r w:rsidRPr="00B20617">
        <w:rPr>
          <w:rFonts w:ascii="Times New Roman" w:hAnsi="Times New Roman" w:cs="Times New Roman"/>
          <w:sz w:val="28"/>
          <w:szCs w:val="28"/>
        </w:rPr>
        <w:t>«ФИЛИП МОРРИС СЭЙЛЗ ЭНД МАРКЕТИНГ»  (ООО «ФМСМ»)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рекламораспространителем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</w:t>
      </w:r>
      <w:r w:rsidRPr="00B20617"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>ООО «СТАР РИЧЕРЗ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B20617" w:rsidRPr="00B20617" w:rsidRDefault="00B20617" w:rsidP="009B5AEC">
      <w:pPr>
        <w:suppressAutoHyphens/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206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Довод Общества, о том, что указанная информация </w:t>
      </w: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является рекламной, так как носит индивидуальный характер и направлена гр. Ананьину А. С. на основании заключенного им с ООО «ФМСМ» соглашения о предоставлении информации</w:t>
      </w:r>
      <w:r w:rsidRPr="00B206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несостоятелен по следующим основаниям.</w:t>
      </w:r>
    </w:p>
    <w:p w:rsidR="00B20617" w:rsidRPr="00B20617" w:rsidRDefault="00B20617" w:rsidP="009B5AEC">
      <w:pPr>
        <w:widowControl w:val="0"/>
        <w:suppressAutoHyphens/>
        <w:autoSpaceDE w:val="0"/>
        <w:spacing w:after="0" w:line="322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0617">
        <w:rPr>
          <w:rFonts w:ascii="Times New Roman" w:eastAsia="Arial" w:hAnsi="Times New Roman" w:cs="Times New Roman"/>
          <w:sz w:val="28"/>
          <w:szCs w:val="28"/>
        </w:rPr>
        <w:t xml:space="preserve">Рассылка смс-сообщений по каналам телефонной связи не может быть произведена иначе как на конкретный абонентский номер, что позволяет говорить об адресном характере отправлений. Однако, специфика связи с </w:t>
      </w:r>
      <w:r w:rsidRPr="00B20617">
        <w:rPr>
          <w:rFonts w:ascii="Times New Roman" w:eastAsia="Arial" w:hAnsi="Times New Roman" w:cs="Times New Roman"/>
          <w:sz w:val="28"/>
          <w:szCs w:val="28"/>
        </w:rPr>
        <w:lastRenderedPageBreak/>
        <w:t>абонентами, сама по себе не может являться основанием для признания информации, содержащейся в CMC-сообщениях, как предназначенной исключительно для конкретного абонента.</w:t>
      </w:r>
    </w:p>
    <w:p w:rsidR="00B20617" w:rsidRPr="00B20617" w:rsidRDefault="00B20617" w:rsidP="009B5AEC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письму ФАС России от 25.06.2013 исх. № АК/24455/13, под рекламой понимается определенная </w:t>
      </w:r>
      <w:proofErr w:type="spellStart"/>
      <w:r w:rsidRPr="00B2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неперсонифицированная</w:t>
      </w:r>
      <w:proofErr w:type="spellEnd"/>
      <w:r w:rsidRPr="00B2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направленная на продвижение определенного объекта рекламирования, даже если она направляется по определенному списку.  </w:t>
      </w:r>
    </w:p>
    <w:p w:rsidR="00B20617" w:rsidRPr="00B20617" w:rsidRDefault="00B20617" w:rsidP="009B5AEC">
      <w:pPr>
        <w:suppressAutoHyphens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Рассматриваемая информация направлена на привлечение внимания к табачной продукции ООО «ФМСМ» – «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BOND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STREET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Compact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Premium</w:t>
      </w: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их продвижение на рынке.</w:t>
      </w:r>
    </w:p>
    <w:p w:rsidR="00B20617" w:rsidRPr="00B20617" w:rsidRDefault="00B20617" w:rsidP="009B5AEC">
      <w:pPr>
        <w:suppressAutoHyphens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Объектом рекламирования в рассматриваемой информации является </w:t>
      </w:r>
      <w:r w:rsidRPr="00B20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ООО «ФМСМ»</w:t>
      </w: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табачный продукт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BOND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STREET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Compact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Premium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0617" w:rsidRPr="00B20617" w:rsidRDefault="00B20617" w:rsidP="009B5AEC">
      <w:pPr>
        <w:tabs>
          <w:tab w:val="left" w:pos="8536"/>
          <w:tab w:val="left" w:pos="10425"/>
        </w:tabs>
        <w:suppressAutoHyphens/>
        <w:autoSpaceDE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указанная информация содержит сведения о табачной продукции ООО «ФМСМ», а именно о сигаретах «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BOND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STREET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Compact</w:t>
      </w:r>
      <w:r w:rsidRPr="00B20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 w:eastAsia="ar-SA"/>
        </w:rPr>
        <w:t>Premium</w:t>
      </w: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представляет интерес для неопределенного круга лиц и является рекламой.</w:t>
      </w:r>
    </w:p>
    <w:p w:rsidR="00B20617" w:rsidRPr="00B20617" w:rsidRDefault="00B20617" w:rsidP="009B5AEC">
      <w:pPr>
        <w:suppressAutoHyphens/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206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пункту 8 статьи 7 ФЗ «О рекламе» не допускается реклама табака, табачной продукции, табачных изделий и курительных принадлежностей, в том числе трубок, кальянов, сигаретной бумаги, зажигалок.</w:t>
      </w:r>
    </w:p>
    <w:p w:rsidR="00B20617" w:rsidRPr="00B20617" w:rsidRDefault="00B20617" w:rsidP="009B5AEC">
      <w:pPr>
        <w:suppressAutoHyphens/>
        <w:autoSpaceDE w:val="0"/>
        <w:spacing w:after="0" w:line="322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B20617">
        <w:rPr>
          <w:rFonts w:ascii="Times New Roman" w:eastAsia="Courier New" w:hAnsi="Times New Roman" w:cs="Times New Roman"/>
          <w:sz w:val="28"/>
          <w:szCs w:val="28"/>
        </w:rPr>
        <w:t xml:space="preserve">Само по себе использование в CMC-сообщении словосочетаний </w:t>
      </w:r>
      <w:r w:rsidRPr="00B20617">
        <w:rPr>
          <w:rFonts w:ascii="Times New Roman" w:eastAsia="Arial" w:hAnsi="Times New Roman" w:cs="Times New Roman"/>
          <w:sz w:val="28"/>
          <w:szCs w:val="28"/>
        </w:rPr>
        <w:t>«85 руб. за пачку», «максимальная розничная цена», «</w:t>
      </w:r>
      <w:r w:rsidRPr="00B20617">
        <w:rPr>
          <w:rFonts w:ascii="Times New Roman" w:eastAsia="Arial" w:hAnsi="Times New Roman" w:cs="Times New Roman"/>
          <w:sz w:val="28"/>
          <w:szCs w:val="28"/>
          <w:lang w:val="en-US"/>
        </w:rPr>
        <w:t>BOND</w:t>
      </w:r>
      <w:r w:rsidRPr="00B206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/>
        </w:rPr>
        <w:t>STREET</w:t>
      </w:r>
      <w:r w:rsidRPr="00B206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/>
        </w:rPr>
        <w:t>Compact</w:t>
      </w:r>
      <w:r w:rsidRPr="00B206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/>
        </w:rPr>
        <w:t>Premium</w:t>
      </w:r>
      <w:r w:rsidRPr="00B20617">
        <w:rPr>
          <w:rFonts w:ascii="Times New Roman" w:eastAsia="Arial" w:hAnsi="Times New Roman" w:cs="Times New Roman"/>
          <w:sz w:val="28"/>
          <w:szCs w:val="28"/>
        </w:rPr>
        <w:t>», «в большинстве магазинов твоего города», «Компактный формат», «мягкий вкус», «доступная цена», «Вопросы? 8 800 200 0505»</w:t>
      </w:r>
      <w:r w:rsidRPr="00B20617">
        <w:rPr>
          <w:rFonts w:ascii="Times New Roman" w:eastAsia="Courier New" w:hAnsi="Times New Roman" w:cs="Times New Roman"/>
          <w:sz w:val="28"/>
          <w:szCs w:val="28"/>
        </w:rPr>
        <w:t xml:space="preserve"> воспринимается в совокупности и направлено на привлечение внимания к табачной продукции, а именно привлекает внимание к сигаретам «</w:t>
      </w:r>
      <w:r w:rsidRPr="00B20617">
        <w:rPr>
          <w:rFonts w:ascii="Times New Roman" w:eastAsia="Arial" w:hAnsi="Times New Roman" w:cs="Times New Roman"/>
          <w:sz w:val="28"/>
          <w:szCs w:val="28"/>
          <w:lang w:val="en-US"/>
        </w:rPr>
        <w:t>BOND</w:t>
      </w:r>
      <w:r w:rsidRPr="00B206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/>
        </w:rPr>
        <w:t>STREET</w:t>
      </w:r>
      <w:r w:rsidRPr="00B206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/>
        </w:rPr>
        <w:t>Compact</w:t>
      </w:r>
      <w:r w:rsidRPr="00B206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20617">
        <w:rPr>
          <w:rFonts w:ascii="Times New Roman" w:eastAsia="Arial" w:hAnsi="Times New Roman" w:cs="Times New Roman"/>
          <w:sz w:val="28"/>
          <w:szCs w:val="28"/>
          <w:lang w:val="en-US"/>
        </w:rPr>
        <w:t>Premium</w:t>
      </w:r>
      <w:r w:rsidRPr="00B20617">
        <w:rPr>
          <w:rFonts w:ascii="Times New Roman" w:eastAsia="Courier New" w:hAnsi="Times New Roman" w:cs="Times New Roman"/>
          <w:sz w:val="28"/>
          <w:szCs w:val="28"/>
        </w:rPr>
        <w:t>» и является стимулированием продажи табака</w:t>
      </w:r>
      <w:proofErr w:type="gramEnd"/>
      <w:r w:rsidRPr="00B20617">
        <w:rPr>
          <w:rFonts w:ascii="Times New Roman" w:eastAsia="Courier New" w:hAnsi="Times New Roman" w:cs="Times New Roman"/>
          <w:sz w:val="28"/>
          <w:szCs w:val="28"/>
        </w:rPr>
        <w:t>, в смысле, придаваемом  статьей 16 Федерального закона от 23.02.2013 №15-ФЗ, применительно к установленному данной статьей запрету на косвенное побуждение к приобретению табачных изделий.</w:t>
      </w:r>
    </w:p>
    <w:p w:rsidR="00B20617" w:rsidRPr="00B20617" w:rsidRDefault="00B20617" w:rsidP="009B5AEC">
      <w:pPr>
        <w:widowControl w:val="0"/>
        <w:suppressAutoHyphens/>
        <w:autoSpaceDE w:val="0"/>
        <w:spacing w:after="0" w:line="322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0617">
        <w:rPr>
          <w:rFonts w:ascii="Times New Roman" w:eastAsia="Arial" w:hAnsi="Times New Roman" w:cs="Times New Roman"/>
          <w:sz w:val="28"/>
          <w:szCs w:val="28"/>
        </w:rPr>
        <w:t>Таким образом, рассматриваемая реклама распространялась с нарушением пункта 8 статьи 7 ФЗ «О рекламе».</w:t>
      </w:r>
    </w:p>
    <w:p w:rsidR="00B20617" w:rsidRPr="00B20617" w:rsidRDefault="00B20617" w:rsidP="009B5AEC">
      <w:pPr>
        <w:suppressAutoHyphens/>
        <w:autoSpaceDE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Гражданин указал в заявлении, что вышеуказанная реклама распространялась на принадлежащий ему номер без его согласия.</w:t>
      </w:r>
    </w:p>
    <w:p w:rsidR="00B20617" w:rsidRPr="00B20617" w:rsidRDefault="00B20617" w:rsidP="009B5AEC">
      <w:pPr>
        <w:suppressAutoHyphens/>
        <w:autoSpaceDE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«ФМСМ» не приведены безусловные обстоятельства и не предъявлены исчерпывающие доказательства, опровергающие доводы Заявителя.</w:t>
      </w:r>
    </w:p>
    <w:p w:rsidR="00B20617" w:rsidRPr="00B20617" w:rsidRDefault="00B20617" w:rsidP="009B5AEC">
      <w:pPr>
        <w:suppressAutoHyphens/>
        <w:autoSpaceDE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в ходе рассмотрения дела Заявитель указал, что не имеет никакого отношения к соглашению, на которое ссылается ООО «ФМСМ». </w:t>
      </w:r>
    </w:p>
    <w:p w:rsidR="00B20617" w:rsidRDefault="00B20617" w:rsidP="009B5AEC">
      <w:pPr>
        <w:suppressAutoHyphens/>
        <w:autoSpaceDE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распространение рекламы от «</w:t>
      </w:r>
      <w:proofErr w:type="spellStart"/>
      <w:r w:rsidRPr="00B2061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BondStreet</w:t>
      </w:r>
      <w:proofErr w:type="spellEnd"/>
      <w:r w:rsidRPr="00B2061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 SMS-сообщений 16 августа 2017 года осуществлялось с нарушением части 1 статьи 18 ФЗ «О рекламе».</w:t>
      </w:r>
    </w:p>
    <w:p w:rsidR="002B5094" w:rsidRPr="00B20617" w:rsidRDefault="002B5094" w:rsidP="009B5AEC">
      <w:pPr>
        <w:suppressAutoHyphens/>
        <w:autoSpaceDE w:val="0"/>
        <w:spacing w:after="0" w:line="32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признала рассматриваемую рекламу ненадлежащей и выдала рекламодателю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рекламораспространителю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предписания об устранении нарушения.</w:t>
      </w:r>
    </w:p>
    <w:p w:rsidR="00B20617" w:rsidRDefault="00B20617" w:rsidP="009B5A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617">
        <w:rPr>
          <w:rFonts w:ascii="Times New Roman" w:hAnsi="Times New Roman" w:cs="Times New Roman"/>
          <w:b/>
          <w:sz w:val="28"/>
          <w:szCs w:val="28"/>
          <w:u w:val="single"/>
        </w:rPr>
        <w:t>2. Дело № 807-169р</w:t>
      </w:r>
    </w:p>
    <w:p w:rsidR="005F522E" w:rsidRPr="00591AC0" w:rsidRDefault="005F522E" w:rsidP="009B5A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AC0">
        <w:rPr>
          <w:rFonts w:ascii="Times New Roman" w:hAnsi="Times New Roman" w:cs="Times New Roman"/>
          <w:sz w:val="28"/>
          <w:szCs w:val="28"/>
        </w:rPr>
        <w:t xml:space="preserve">В Воронежское УФАС России поступило заявление от гражданина, который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1AC0">
        <w:rPr>
          <w:rFonts w:ascii="Times New Roman" w:hAnsi="Times New Roman" w:cs="Times New Roman"/>
          <w:sz w:val="28"/>
          <w:szCs w:val="28"/>
        </w:rPr>
        <w:t>казал, что на его мобильный телефон без его согласия поступил телефонный звонок рекламного содержания об условиях пользования кредитной картой «Халва».</w:t>
      </w:r>
      <w:proofErr w:type="gramEnd"/>
    </w:p>
    <w:p w:rsidR="005F522E" w:rsidRPr="00591AC0" w:rsidRDefault="005F522E" w:rsidP="009B5A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AC0">
        <w:rPr>
          <w:rFonts w:ascii="Times New Roman" w:hAnsi="Times New Roman" w:cs="Times New Roman"/>
          <w:sz w:val="28"/>
          <w:szCs w:val="28"/>
        </w:rPr>
        <w:t>Комиссия признала эту информацию рекламой, поскольку она содержит все признаки рекламы.</w:t>
      </w:r>
    </w:p>
    <w:p w:rsidR="005F522E" w:rsidRPr="00591AC0" w:rsidRDefault="005F522E" w:rsidP="009B5A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AC0">
        <w:rPr>
          <w:rFonts w:ascii="Times New Roman" w:hAnsi="Times New Roman" w:cs="Times New Roman"/>
          <w:sz w:val="28"/>
          <w:szCs w:val="28"/>
        </w:rPr>
        <w:t xml:space="preserve">В ходе рассмотрения дела было установлено, что </w:t>
      </w:r>
      <w:proofErr w:type="spellStart"/>
      <w:r w:rsidRPr="00591AC0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591AC0">
        <w:rPr>
          <w:rFonts w:ascii="Times New Roman" w:hAnsi="Times New Roman" w:cs="Times New Roman"/>
          <w:sz w:val="28"/>
          <w:szCs w:val="28"/>
        </w:rPr>
        <w:t xml:space="preserve"> является ООО «Пенсионный советник» - лицо, которому принадлежит телефонный номер, с которого был осуществлен звонок. Кроме того из договора на оказание рекламных услуг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591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Общество </w:t>
      </w:r>
      <w:r w:rsidRPr="00591AC0">
        <w:rPr>
          <w:rFonts w:ascii="Times New Roman" w:hAnsi="Times New Roman" w:cs="Times New Roman"/>
          <w:sz w:val="28"/>
          <w:szCs w:val="28"/>
        </w:rPr>
        <w:t xml:space="preserve">«Пенсионный советник» непосредственно осуществляло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клиентов заказчика по базе последнего. </w:t>
      </w:r>
      <w:r w:rsidRPr="00591AC0">
        <w:rPr>
          <w:rFonts w:ascii="Times New Roman" w:hAnsi="Times New Roman" w:cs="Times New Roman"/>
          <w:sz w:val="28"/>
          <w:szCs w:val="28"/>
        </w:rPr>
        <w:t xml:space="preserve">Довод ответчика, что согласно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 w:rsidRPr="00591AC0">
        <w:rPr>
          <w:rFonts w:ascii="Times New Roman" w:hAnsi="Times New Roman" w:cs="Times New Roman"/>
          <w:sz w:val="28"/>
          <w:szCs w:val="28"/>
        </w:rPr>
        <w:t xml:space="preserve">договору за соблюдение законодательства о рекламе несет ответственность Заказчик (рекламодатель) несостоятелен, поскольку ответственность субъектов рекламного рынка прописана в статье 38 ФЗ «О рекламе», согласно которой ответственность за нарушение статьи 18 ФЗ «О рекламе» несет именно </w:t>
      </w:r>
      <w:proofErr w:type="spellStart"/>
      <w:r w:rsidRPr="00591AC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91AC0">
        <w:rPr>
          <w:rFonts w:ascii="Times New Roman" w:hAnsi="Times New Roman" w:cs="Times New Roman"/>
          <w:sz w:val="28"/>
          <w:szCs w:val="28"/>
        </w:rPr>
        <w:t xml:space="preserve">, т.е. ООО «Пенсионный </w:t>
      </w:r>
      <w:r w:rsidRPr="00591AC0">
        <w:rPr>
          <w:rFonts w:ascii="Times New Roman" w:hAnsi="Times New Roman" w:cs="Times New Roman"/>
          <w:sz w:val="28"/>
          <w:szCs w:val="28"/>
        </w:rPr>
        <w:lastRenderedPageBreak/>
        <w:t>советник». Комиссия при</w:t>
      </w:r>
      <w:r>
        <w:rPr>
          <w:rFonts w:ascii="Times New Roman" w:hAnsi="Times New Roman" w:cs="Times New Roman"/>
          <w:sz w:val="28"/>
          <w:szCs w:val="28"/>
        </w:rPr>
        <w:t>знала факт нарушения и выда</w:t>
      </w:r>
      <w:r w:rsidRPr="00591AC0">
        <w:rPr>
          <w:rFonts w:ascii="Times New Roman" w:hAnsi="Times New Roman" w:cs="Times New Roman"/>
          <w:sz w:val="28"/>
          <w:szCs w:val="28"/>
        </w:rPr>
        <w:t>ла Обществу предписание об устранении.</w:t>
      </w:r>
    </w:p>
    <w:p w:rsidR="009B5AEC" w:rsidRDefault="009B5AEC" w:rsidP="009B5A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F3">
        <w:rPr>
          <w:rFonts w:ascii="Times New Roman" w:hAnsi="Times New Roman" w:cs="Times New Roman"/>
          <w:b/>
          <w:sz w:val="28"/>
          <w:szCs w:val="28"/>
        </w:rPr>
        <w:t xml:space="preserve">Дело № 850-179 </w:t>
      </w:r>
      <w:proofErr w:type="gramStart"/>
      <w:r w:rsidRPr="00A80D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отношении ВГТРК</w:t>
      </w:r>
    </w:p>
    <w:p w:rsidR="009B5AEC" w:rsidRPr="00A80DF3" w:rsidRDefault="009B5AEC" w:rsidP="009B5AE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Воронежским УФАС России установлено распространение в эфире телеканала «Россия 1»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телепрограмме «Вести Воронеж» </w:t>
      </w: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телевизионного ролика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Воронеж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новой автоматической АЗС компании «ВТК». </w:t>
      </w:r>
    </w:p>
    <w:p w:rsidR="009B5AEC" w:rsidRPr="00A80DF3" w:rsidRDefault="009B5AEC" w:rsidP="009B5A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 телевизионный ролик содержит</w:t>
      </w: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 следующего содержания: </w:t>
      </w:r>
    </w:p>
    <w:p w:rsidR="009B5AEC" w:rsidRPr="009B5AEC" w:rsidRDefault="009B5AEC" w:rsidP="009B5A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Ведущий: «</w:t>
      </w:r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Первая в регионе автоматическая АЗС Воронежской топливной компании сегодня заработала на улице Остужева. Автолюбители преимущества такой заправки в формате самообслуживания оценили еще до официального открытия. Машины сюда </w:t>
      </w:r>
      <w:proofErr w:type="gramStart"/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заезжали одна за другой ВТК прогнозирует</w:t>
      </w:r>
      <w:proofErr w:type="gramEnd"/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тут станут заправляться не меньше 700 автомобилей в день. Водители смогут сэкономить за счет внедрения современных технологий и цена топливо тут ниже</w:t>
      </w: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B5AEC" w:rsidRPr="009B5AEC" w:rsidRDefault="009B5AEC" w:rsidP="009B5A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Павел Коробов (Водитель): «</w:t>
      </w:r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Достаточно удобно. Терминалы сейчас везде у нас используют. Не надо стоять в очереди здесь и еще идти и там стоять. То есть меньшее время заправки плюс цена бензина радует</w:t>
      </w: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B5AEC" w:rsidRPr="009B5AEC" w:rsidRDefault="009B5AEC" w:rsidP="009B5A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Ведущий: «</w:t>
      </w:r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Автолюбителей у колонок сейчас консультируют операторы ВТК. Позже решение любых вопросов и сложностей клиентов возьмет на себя служба поддержки, работающая в режиме онлайн. Оплатить топливо можно банковской или топливной картой, а также наличными. Терминалы принимают купюры от 50 рублей до 5 000. Для </w:t>
      </w:r>
      <w:proofErr w:type="gramStart"/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тех</w:t>
      </w:r>
      <w:proofErr w:type="gramEnd"/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кто не сможет рассчитать нужный объем бензина тут тоже нашли решение</w:t>
      </w: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   </w:t>
      </w:r>
    </w:p>
    <w:p w:rsidR="009B5AEC" w:rsidRPr="009B5AEC" w:rsidRDefault="009B5AEC" w:rsidP="009B5A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Екатерина </w:t>
      </w:r>
      <w:proofErr w:type="spellStart"/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Коробейникова</w:t>
      </w:r>
      <w:proofErr w:type="spellEnd"/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(руководитель розничной торговли «Воронежской топливной компании»): «</w:t>
      </w:r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Автомат не выдает сдачи наличными купюрами но, если все топливо в ваш бак не поместьица, вы </w:t>
      </w:r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получите чек возврата, которым также сможете расплатиться в дальнейшем при заправке»</w:t>
      </w: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5AEC" w:rsidRPr="009B5AEC" w:rsidRDefault="009B5AEC" w:rsidP="009B5A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Ольга Барышникова (генеральный директор «Воронежской топливной компании»): «</w:t>
      </w:r>
      <w:r w:rsidRPr="009B5A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Мы считаем что людям, особенно молодым, это будет интересно, которые привыкли к мобильности к скорости. Европейская тенденция и мы пытаемся тоже прийти и к такому формату, и улучшить тот формат, который есть стандартный</w:t>
      </w: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B5AE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9B5AE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— рассматриваемая информация)</w:t>
      </w:r>
      <w:r w:rsidRPr="009B5AE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9B5AEC" w:rsidRPr="00A80DF3" w:rsidRDefault="009B5AEC" w:rsidP="009B5A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80DF3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Рассматриваемая информация в соответствии с пунктом 1 статьи 3 ФЗ «О рекламе» является рекламой, поскольку адресована неопределенному кругу лиц и направлена на привлечение внимания к объектам рекламирования (деятельность сети автозаправочных станций «ВТК», автозаправочная станция «ВТК» оснащенная автоматическими терминалами для оплаты и т.д.), поддерживает интерес к ним и способствует продвижению товара на рынке.</w:t>
      </w:r>
      <w:proofErr w:type="gramEnd"/>
    </w:p>
    <w:p w:rsidR="009B5AEC" w:rsidRPr="00A80DF3" w:rsidRDefault="009B5AEC" w:rsidP="009B5A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A8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указанном телевизионном ролике неоднократно демонстрируется логотип «ВТК» и фирменное оформление (цветовая гамма, форма сотрудников и пр.)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Pr="00A8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используемые «Воронежской топливной компанией» для идентификации (выделения среди прочих) АЗС «ВТК».</w:t>
      </w:r>
    </w:p>
    <w:p w:rsidR="009B5AEC" w:rsidRPr="00A80DF3" w:rsidRDefault="009B5AEC" w:rsidP="009B5AEC">
      <w:pPr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Arial CYR"/>
          <w:color w:val="000000"/>
          <w:sz w:val="28"/>
          <w:szCs w:val="28"/>
          <w:shd w:val="clear" w:color="auto" w:fill="FFFFFF"/>
          <w:lang w:eastAsia="ar-SA"/>
        </w:rPr>
      </w:pPr>
      <w:r w:rsidRPr="00A80DF3">
        <w:rPr>
          <w:rFonts w:ascii="Times New Roman" w:eastAsia="Times New Roman CYR" w:hAnsi="Times New Roman" w:cs="Arial CYR"/>
          <w:color w:val="000000"/>
          <w:sz w:val="28"/>
          <w:szCs w:val="28"/>
          <w:shd w:val="clear" w:color="auto" w:fill="FFFFFF"/>
          <w:lang w:eastAsia="ar-SA"/>
        </w:rPr>
        <w:tab/>
        <w:t>В соответствии с частью 1 статьи 14 ФЗ «О рекламе», прерывание телепрограммы или телепередачи рекламой, то есть остановка трансляции телепрограммы или телепередачи для демонстрации рекламы, должно предваряться сообщением о последующей трансляции рекламы, за исключением прерывания спонсорской рекламой.</w:t>
      </w:r>
    </w:p>
    <w:p w:rsidR="009B5AEC" w:rsidRPr="00A80DF3" w:rsidRDefault="009B5AEC" w:rsidP="009B5AEC">
      <w:pPr>
        <w:suppressLineNumbers/>
        <w:suppressAutoHyphens/>
        <w:autoSpaceDE w:val="0"/>
        <w:spacing w:after="0" w:line="360" w:lineRule="auto"/>
        <w:jc w:val="both"/>
        <w:rPr>
          <w:rFonts w:ascii="Times New Roman" w:eastAsia="Arial CYR" w:hAnsi="Times New Roman" w:cs="Arial CYR"/>
          <w:color w:val="000000"/>
          <w:sz w:val="28"/>
          <w:szCs w:val="28"/>
          <w:shd w:val="clear" w:color="auto" w:fill="FFFFFF"/>
          <w:lang w:eastAsia="ar-SA"/>
        </w:rPr>
      </w:pPr>
      <w:r w:rsidRPr="00A80DF3">
        <w:rPr>
          <w:rFonts w:ascii="Times New Roman" w:eastAsia="Arial CYR" w:hAnsi="Times New Roman" w:cs="Arial CYR"/>
          <w:color w:val="000000"/>
          <w:sz w:val="28"/>
          <w:szCs w:val="28"/>
          <w:shd w:val="clear" w:color="auto" w:fill="FFFFFF"/>
          <w:lang w:eastAsia="ar-SA"/>
        </w:rPr>
        <w:tab/>
        <w:t>Распространение рассматриваемой рекламы не предварялось сообщением о последующей трансляции рекламы, что является нарушением части 1 статьи 14 ФЗ «О рекламе».</w:t>
      </w:r>
    </w:p>
    <w:p w:rsidR="009B5AEC" w:rsidRPr="00A80DF3" w:rsidRDefault="009B5AEC" w:rsidP="009B5AEC">
      <w:pPr>
        <w:suppressLineNumbers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7 статьи 3 ФЗ «О рекламе» </w:t>
      </w:r>
      <w:proofErr w:type="spellStart"/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рекламораспространителем</w:t>
      </w:r>
      <w:proofErr w:type="spellEnd"/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лицо, осуществляющее распространение </w:t>
      </w: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рекламы любым способом, в любой форме и с использованием любых средств.</w:t>
      </w:r>
    </w:p>
    <w:p w:rsidR="009B5AEC" w:rsidRPr="00A80DF3" w:rsidRDefault="009B5AEC" w:rsidP="009B5AEC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 данном случае </w:t>
      </w:r>
      <w:proofErr w:type="spellStart"/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рекламораспространителем</w:t>
      </w:r>
      <w:proofErr w:type="spellEnd"/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Pr="00A80D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ФГУП «ВГТРК», так как оно, в том числе, является </w:t>
      </w: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держателем </w:t>
      </w:r>
      <w:r w:rsidRPr="00A80D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лицензии на осуществление телевизионного вещания серия ТВ № 20457 от 05 апреля 2012 года на телеканале «Россия» (Россия 1)</w:t>
      </w: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B5AEC" w:rsidRDefault="009B5AEC" w:rsidP="009B5AEC">
      <w:pPr>
        <w:suppressLineNumbers/>
        <w:suppressAutoHyphens/>
        <w:spacing w:after="0" w:line="360" w:lineRule="auto"/>
        <w:jc w:val="both"/>
        <w:rPr>
          <w:rFonts w:ascii="Tahoma" w:eastAsia="Times New Roman" w:hAnsi="Tahoma" w:cs="Times New Roman"/>
          <w:sz w:val="24"/>
          <w:szCs w:val="28"/>
          <w:lang w:eastAsia="ar-SA"/>
        </w:rPr>
      </w:pPr>
      <w:r w:rsidRPr="00A80DF3">
        <w:rPr>
          <w:rFonts w:ascii="Tahoma" w:eastAsia="Times New Roman" w:hAnsi="Tahoma" w:cs="Times New Roman"/>
          <w:sz w:val="24"/>
          <w:szCs w:val="28"/>
          <w:lang w:eastAsia="ar-SA"/>
        </w:rPr>
        <w:tab/>
      </w:r>
      <w:r w:rsidRPr="00201D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Довод ответчика о том, что</w:t>
      </w:r>
      <w:r>
        <w:rPr>
          <w:rFonts w:ascii="Tahoma" w:eastAsia="Times New Roman" w:hAnsi="Tahoma" w:cs="Times New Roman"/>
          <w:sz w:val="24"/>
          <w:szCs w:val="28"/>
          <w:lang w:eastAsia="ar-SA"/>
        </w:rPr>
        <w:t xml:space="preserve"> </w:t>
      </w:r>
      <w:r w:rsidRPr="00A80DF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 рассматриваемый информационный сюжет не имел целью продвижение товаров, работ, услуг и был подготовлен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корреспондентами ГТРК «Воронеж» </w:t>
      </w:r>
      <w:r w:rsidRPr="00A80DF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рамках информирования населения </w:t>
      </w:r>
      <w:proofErr w:type="gramStart"/>
      <w:r w:rsidRPr="00A80DF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proofErr w:type="gramEnd"/>
      <w:r w:rsidRPr="00A80DF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новой автоматической АЗС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несостоятелен по следующим основаниям.</w:t>
      </w:r>
    </w:p>
    <w:p w:rsidR="009B5AEC" w:rsidRPr="00A80DF3" w:rsidRDefault="009B5AEC" w:rsidP="009B5AEC">
      <w:pPr>
        <w:suppressLineNumbers/>
        <w:suppressAutoHyphens/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Закреплённое законодательное 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понятия</w:t>
      </w:r>
      <w:r w:rsidRPr="00A8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«реклама», а также подробный анализ рекламного сюжета (последовательность подачи информации, логическая связь информации с видеорядом и т.д.) свидетельствуют о том, что транслируемый сюжет (рассматриваемая реклама) направлен на привлечение внимания потребителей к конкретным объектам рекламирования –</w:t>
      </w:r>
      <w:r w:rsidRPr="00A80DF3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деятельность сети автозаправочных станций «ВТК», автозаправочная станция «ВТК» оснащенная автоматическими терминалами для оплаты и т.д.</w:t>
      </w:r>
      <w:proofErr w:type="gramEnd"/>
    </w:p>
    <w:p w:rsidR="009B5AEC" w:rsidRDefault="009B5AEC" w:rsidP="009B5AEC">
      <w:pPr>
        <w:suppressLineNumbers/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A80DF3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Д</w:t>
      </w:r>
      <w:r w:rsidRPr="00A80DF3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анная информация адресована неопределенному кругу лиц и направлена на привлечение внимания к конкретным объектам рекламирования, формирует и поддерживает интерес к ним, а также продвигает их на рынке, то есть, в соответствии с определением, содержащимся в Законе, является рекламой.</w:t>
      </w:r>
    </w:p>
    <w:p w:rsidR="009B5AEC" w:rsidRPr="00A80DF3" w:rsidRDefault="009B5AEC" w:rsidP="009B5AEC">
      <w:pPr>
        <w:suppressLineNumbers/>
        <w:suppressAutoHyphens/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Комиссия признала факт нарушения и выдала ответчику обязательное для исполнения предписание.</w:t>
      </w:r>
    </w:p>
    <w:p w:rsidR="009B5AEC" w:rsidRDefault="009B5AEC" w:rsidP="009B5AEC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E81FCE">
        <w:rPr>
          <w:rFonts w:eastAsiaTheme="minorEastAsia"/>
          <w:b/>
          <w:bCs/>
          <w:kern w:val="24"/>
          <w:sz w:val="28"/>
          <w:szCs w:val="28"/>
        </w:rPr>
        <w:t>Формы НДК определены в главе  2.1. ФЗ «О защите конкуренции» (статьи 14.1-14.8)</w:t>
      </w:r>
    </w:p>
    <w:p w:rsidR="009B5AEC" w:rsidRPr="00E81FCE" w:rsidRDefault="009B5AEC" w:rsidP="009B5AE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81FCE">
        <w:rPr>
          <w:sz w:val="28"/>
          <w:szCs w:val="28"/>
        </w:rPr>
        <w:t>Не допускается недобросовестная конкуренция:</w:t>
      </w:r>
    </w:p>
    <w:p w:rsidR="009B5AEC" w:rsidRPr="00E81FCE" w:rsidRDefault="009B5AEC" w:rsidP="009B5AE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E81FCE">
        <w:rPr>
          <w:sz w:val="28"/>
          <w:szCs w:val="28"/>
        </w:rPr>
        <w:t>путем дискредитации конкурента;</w:t>
      </w:r>
    </w:p>
    <w:p w:rsidR="009B5AEC" w:rsidRPr="00E81FCE" w:rsidRDefault="009B5AEC" w:rsidP="009B5AE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E81FCE">
        <w:rPr>
          <w:sz w:val="28"/>
          <w:szCs w:val="28"/>
        </w:rPr>
        <w:t>путем введения в заблуждение;</w:t>
      </w:r>
    </w:p>
    <w:p w:rsidR="009B5AEC" w:rsidRPr="00E81FCE" w:rsidRDefault="009B5AEC" w:rsidP="009B5AE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E81FCE">
        <w:rPr>
          <w:sz w:val="28"/>
          <w:szCs w:val="28"/>
        </w:rPr>
        <w:lastRenderedPageBreak/>
        <w:t>путем некорректного сравнения хозяйствующего субъекта и (или) его товара;</w:t>
      </w:r>
    </w:p>
    <w:p w:rsidR="009B5AEC" w:rsidRPr="00E81FCE" w:rsidRDefault="009B5AEC" w:rsidP="009B5AE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E81FCE">
        <w:rPr>
          <w:sz w:val="28"/>
          <w:szCs w:val="28"/>
        </w:rPr>
        <w:t>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услуг;</w:t>
      </w:r>
    </w:p>
    <w:p w:rsidR="009B5AEC" w:rsidRPr="00E81FCE" w:rsidRDefault="009B5AEC" w:rsidP="009B5AE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E81FCE">
        <w:rPr>
          <w:sz w:val="28"/>
          <w:szCs w:val="28"/>
        </w:rPr>
        <w:t xml:space="preserve">путем </w:t>
      </w:r>
      <w:proofErr w:type="gramStart"/>
      <w:r w:rsidRPr="00E81FCE">
        <w:rPr>
          <w:sz w:val="28"/>
          <w:szCs w:val="28"/>
        </w:rPr>
        <w:t>совершения</w:t>
      </w:r>
      <w:proofErr w:type="gramEnd"/>
      <w:r w:rsidRPr="00E81FCE">
        <w:rPr>
          <w:sz w:val="28"/>
          <w:szCs w:val="28"/>
        </w:rPr>
        <w:t xml:space="preserve">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индивидуализации;</w:t>
      </w:r>
    </w:p>
    <w:p w:rsidR="009B5AEC" w:rsidRPr="00E81FCE" w:rsidRDefault="009B5AEC" w:rsidP="009B5AE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proofErr w:type="gramStart"/>
      <w:r w:rsidRPr="00E81FCE">
        <w:rPr>
          <w:sz w:val="28"/>
          <w:szCs w:val="28"/>
        </w:rPr>
        <w:t>связанная</w:t>
      </w:r>
      <w:proofErr w:type="gramEnd"/>
      <w:r w:rsidRPr="00E81FCE">
        <w:rPr>
          <w:sz w:val="28"/>
          <w:szCs w:val="28"/>
        </w:rPr>
        <w:t xml:space="preserve"> с созданием смешения;</w:t>
      </w:r>
    </w:p>
    <w:p w:rsidR="009B5AEC" w:rsidRPr="00E81FCE" w:rsidRDefault="009B5AEC" w:rsidP="009B5AE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proofErr w:type="gramStart"/>
      <w:r w:rsidRPr="00E81FCE">
        <w:rPr>
          <w:sz w:val="28"/>
          <w:szCs w:val="28"/>
        </w:rPr>
        <w:t>связанная</w:t>
      </w:r>
      <w:proofErr w:type="gramEnd"/>
      <w:r w:rsidRPr="00E81FCE">
        <w:rPr>
          <w:sz w:val="28"/>
          <w:szCs w:val="28"/>
        </w:rPr>
        <w:t xml:space="preserve"> с незаконным получением, использованием или разглашением информации, составляющей коммерческую или иную охраняемую законом тайну;</w:t>
      </w:r>
    </w:p>
    <w:p w:rsidR="009B5AEC" w:rsidRPr="00E81FCE" w:rsidRDefault="009B5AEC" w:rsidP="009B5AE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E81FCE">
        <w:rPr>
          <w:sz w:val="28"/>
          <w:szCs w:val="28"/>
        </w:rPr>
        <w:t>иные формы недобросовестной конкуренции наряду с предусмотренными статьями 14.1-14.7 ФЗ «О защите конкуренции».</w:t>
      </w:r>
    </w:p>
    <w:p w:rsidR="009B5AEC" w:rsidRPr="009B5AEC" w:rsidRDefault="009B5AEC" w:rsidP="009B5A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EC">
        <w:rPr>
          <w:rFonts w:ascii="Times New Roman" w:hAnsi="Times New Roman" w:cs="Times New Roman"/>
          <w:b/>
          <w:bCs/>
          <w:sz w:val="28"/>
          <w:szCs w:val="28"/>
        </w:rPr>
        <w:t>Наиболее распространенные формы НДК, выявленные в отчетном периоде:</w:t>
      </w:r>
    </w:p>
    <w:p w:rsidR="00C1755E" w:rsidRPr="009B5AEC" w:rsidRDefault="00CF1BCD" w:rsidP="009B5A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C">
        <w:rPr>
          <w:rFonts w:ascii="Times New Roman" w:hAnsi="Times New Roman" w:cs="Times New Roman"/>
          <w:bCs/>
          <w:sz w:val="28"/>
          <w:szCs w:val="28"/>
        </w:rPr>
        <w:t>НДК, связанная с дискредитацией конкурента (статья 14.1 ФЗ «О защите конкуренции»);</w:t>
      </w:r>
    </w:p>
    <w:p w:rsidR="00C1755E" w:rsidRPr="009B5AEC" w:rsidRDefault="00CF1BCD" w:rsidP="009B5A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C">
        <w:rPr>
          <w:rFonts w:ascii="Times New Roman" w:hAnsi="Times New Roman" w:cs="Times New Roman"/>
          <w:bCs/>
          <w:sz w:val="28"/>
          <w:szCs w:val="28"/>
        </w:rPr>
        <w:t>НДК, связанная с некорректным сравнением хозяйствующего субъекта и (или) его товара; (статья 14.3 ФЗ «О защите конкуренции»);</w:t>
      </w:r>
    </w:p>
    <w:p w:rsidR="00C1755E" w:rsidRPr="009B5AEC" w:rsidRDefault="00CF1BCD" w:rsidP="009B5A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C">
        <w:rPr>
          <w:rFonts w:ascii="Times New Roman" w:hAnsi="Times New Roman" w:cs="Times New Roman"/>
          <w:bCs/>
          <w:sz w:val="28"/>
          <w:szCs w:val="28"/>
        </w:rPr>
        <w:t>НДК, связанная с созданием смешения (копирование коммерческого обозначения, незаконное использование товарного знака в коммерческом обозначени</w:t>
      </w:r>
      <w:proofErr w:type="gramStart"/>
      <w:r w:rsidRPr="009B5AEC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9B5AEC">
        <w:rPr>
          <w:rFonts w:ascii="Times New Roman" w:hAnsi="Times New Roman" w:cs="Times New Roman"/>
          <w:bCs/>
          <w:sz w:val="28"/>
          <w:szCs w:val="28"/>
        </w:rPr>
        <w:t>статья 14.6 ФЗ «О защите конкуренции»);</w:t>
      </w:r>
    </w:p>
    <w:p w:rsidR="00C1755E" w:rsidRPr="009B5AEC" w:rsidRDefault="00CF1BCD" w:rsidP="009B5A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C">
        <w:rPr>
          <w:rFonts w:ascii="Times New Roman" w:hAnsi="Times New Roman" w:cs="Times New Roman"/>
          <w:bCs/>
          <w:sz w:val="28"/>
          <w:szCs w:val="28"/>
        </w:rPr>
        <w:t>Иные формы НДК (Статья 14.8 ФЗ «О защите конкуренции»).</w:t>
      </w:r>
    </w:p>
    <w:p w:rsidR="009B5AEC" w:rsidRPr="00CF1BCD" w:rsidRDefault="009B5AEC" w:rsidP="009B5A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CD">
        <w:rPr>
          <w:rFonts w:ascii="Times New Roman" w:hAnsi="Times New Roman" w:cs="Times New Roman"/>
          <w:b/>
          <w:sz w:val="28"/>
          <w:szCs w:val="28"/>
        </w:rPr>
        <w:t>В связи с подготовкой и предстоящим проведением на территории Российской Федерации чемпионата мира по футболу FIFA 2018 года   Воронежское УФАС России обращает внимание на следующее.</w:t>
      </w:r>
    </w:p>
    <w:p w:rsidR="009B5AEC" w:rsidRDefault="009B5AEC" w:rsidP="009B5A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AEC">
        <w:rPr>
          <w:rFonts w:ascii="Times New Roman" w:hAnsi="Times New Roman" w:cs="Times New Roman"/>
          <w:sz w:val="28"/>
          <w:szCs w:val="28"/>
        </w:rPr>
        <w:t xml:space="preserve">Международная Федерация футбольных ассоциаций (FIFA) является правообладателем зарегистрированных товарных знаков – символики </w:t>
      </w:r>
      <w:r w:rsidRPr="009B5AEC">
        <w:rPr>
          <w:rFonts w:ascii="Times New Roman" w:hAnsi="Times New Roman" w:cs="Times New Roman"/>
          <w:sz w:val="28"/>
          <w:szCs w:val="28"/>
        </w:rPr>
        <w:lastRenderedPageBreak/>
        <w:t>мероприятий FIFA и лицом, определяющим перечень партнеров  и лицензиатов мероприятий FIFA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EC" w:rsidRPr="009B5AEC" w:rsidRDefault="009B5AEC" w:rsidP="009B5A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9B5A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5AEC">
        <w:rPr>
          <w:rFonts w:ascii="Times New Roman" w:hAnsi="Times New Roman" w:cs="Times New Roman"/>
          <w:sz w:val="28"/>
          <w:szCs w:val="28"/>
        </w:rPr>
        <w:t xml:space="preserve"> от 07.06.2013 N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BCD">
        <w:rPr>
          <w:rFonts w:ascii="Times New Roman" w:hAnsi="Times New Roman" w:cs="Times New Roman"/>
          <w:sz w:val="28"/>
          <w:szCs w:val="28"/>
        </w:rPr>
        <w:t>д</w:t>
      </w:r>
      <w:r w:rsidRPr="009B5AEC">
        <w:rPr>
          <w:rFonts w:ascii="Times New Roman" w:hAnsi="Times New Roman" w:cs="Times New Roman"/>
          <w:sz w:val="28"/>
          <w:szCs w:val="28"/>
        </w:rPr>
        <w:t>ействия хозяйствующих субъектов, приводящие к формированию у покупателя искаженного представления об отношении товара либо его продавца к FIFA (мероприятиям FIFA), в том числе</w:t>
      </w:r>
      <w:proofErr w:type="gramEnd"/>
      <w:r w:rsidRPr="009B5AEC">
        <w:rPr>
          <w:rFonts w:ascii="Times New Roman" w:hAnsi="Times New Roman" w:cs="Times New Roman"/>
          <w:sz w:val="28"/>
          <w:szCs w:val="28"/>
        </w:rPr>
        <w:t xml:space="preserve"> незаконное использование обозначения, сходного до степени смешения с общеизвестными товарными знаками,  могут быть квалифицированы как акт недобросовестной конкуренции</w:t>
      </w:r>
      <w:r w:rsidR="00CF1BCD">
        <w:rPr>
          <w:rFonts w:ascii="Times New Roman" w:hAnsi="Times New Roman" w:cs="Times New Roman"/>
          <w:sz w:val="28"/>
          <w:szCs w:val="28"/>
        </w:rPr>
        <w:t xml:space="preserve"> либ</w:t>
      </w:r>
      <w:r w:rsidR="002C09B0">
        <w:rPr>
          <w:rFonts w:ascii="Times New Roman" w:hAnsi="Times New Roman" w:cs="Times New Roman"/>
          <w:sz w:val="28"/>
          <w:szCs w:val="28"/>
        </w:rPr>
        <w:t>о как недостоверная реклама.</w:t>
      </w:r>
      <w:r w:rsidR="00CF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22E" w:rsidRPr="00591AC0" w:rsidRDefault="005F522E" w:rsidP="009B5A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22E" w:rsidRPr="005F522E" w:rsidRDefault="005F522E" w:rsidP="009B5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22E" w:rsidRPr="005F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8A1"/>
    <w:multiLevelType w:val="hybridMultilevel"/>
    <w:tmpl w:val="BAA6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1780"/>
    <w:multiLevelType w:val="hybridMultilevel"/>
    <w:tmpl w:val="5BA2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331A"/>
    <w:multiLevelType w:val="hybridMultilevel"/>
    <w:tmpl w:val="771E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0BEC"/>
    <w:multiLevelType w:val="hybridMultilevel"/>
    <w:tmpl w:val="33AA4B78"/>
    <w:lvl w:ilvl="0" w:tplc="B3BE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2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8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E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88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CE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82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42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84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2"/>
    <w:rsid w:val="000F02D2"/>
    <w:rsid w:val="001718E3"/>
    <w:rsid w:val="00293DE4"/>
    <w:rsid w:val="002B5094"/>
    <w:rsid w:val="002C09B0"/>
    <w:rsid w:val="003F49CE"/>
    <w:rsid w:val="004518F4"/>
    <w:rsid w:val="005F522E"/>
    <w:rsid w:val="0062278D"/>
    <w:rsid w:val="00650385"/>
    <w:rsid w:val="0094251D"/>
    <w:rsid w:val="009A2146"/>
    <w:rsid w:val="009A217C"/>
    <w:rsid w:val="009B5AEC"/>
    <w:rsid w:val="00B20617"/>
    <w:rsid w:val="00BE36A9"/>
    <w:rsid w:val="00C1755E"/>
    <w:rsid w:val="00C25546"/>
    <w:rsid w:val="00CF1BCD"/>
    <w:rsid w:val="00E9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2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Козинина О.Г.</dc:creator>
  <cp:lastModifiedBy>Козинина О.Г.</cp:lastModifiedBy>
  <cp:revision>12</cp:revision>
  <dcterms:created xsi:type="dcterms:W3CDTF">2018-03-02T11:00:00Z</dcterms:created>
  <dcterms:modified xsi:type="dcterms:W3CDTF">2018-03-20T07:02:00Z</dcterms:modified>
</cp:coreProperties>
</file>