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C93E" w14:textId="051BEB80" w:rsidR="00F369FF" w:rsidRPr="00D84F1A" w:rsidRDefault="007F0231" w:rsidP="007F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</w:t>
      </w:r>
      <w:r w:rsidR="004568E7" w:rsidRPr="00D84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еханизм осуществления закупок товаров, работ, услуг</w:t>
      </w:r>
      <w:r w:rsidRPr="00D84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для государственных и муниципальных нужд</w:t>
      </w:r>
      <w:r w:rsidR="004568E7" w:rsidRPr="00D84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причины возникновения проблем и пути их решения</w:t>
      </w:r>
      <w:r w:rsidRPr="00D84F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7909B520" w14:textId="7518AEF4" w:rsidR="00F369FF" w:rsidRPr="00D84F1A" w:rsidRDefault="006620D6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г. принято </w:t>
      </w:r>
      <w:r w:rsidR="0088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законопроект</w:t>
      </w:r>
      <w:r w:rsidR="006A141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изменений в 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о контрактной системе,</w:t>
      </w:r>
      <w:r w:rsidR="00D843B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 с совершенствовани</w:t>
      </w:r>
      <w:r w:rsidR="00D843B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положений</w:t>
      </w:r>
      <w:r w:rsidR="0076048D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43B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3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BB3AB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реформы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13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13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03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</w:t>
      </w:r>
      <w:r w:rsidR="006B613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ускор</w:t>
      </w:r>
      <w:r w:rsidR="004003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="006B613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4003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369FF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закупок. </w:t>
      </w:r>
    </w:p>
    <w:p w14:paraId="6EBCDFF4" w14:textId="7C035198" w:rsidR="00C934F5" w:rsidRPr="00D84F1A" w:rsidRDefault="00BB3AB0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при внесении изменений в рассматриваемый закон, </w:t>
      </w:r>
      <w:r w:rsidR="004A6F3B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законодателем </w:t>
      </w:r>
      <w:r w:rsidR="003132DD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учтен</w:t>
      </w:r>
      <w:r w:rsidR="00B37D5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132DD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</w:t>
      </w:r>
      <w:r w:rsidR="00C934F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2DD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пробелов, </w:t>
      </w:r>
      <w:r w:rsidR="00B37D5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связанных с 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необходимостью ужесточения требований </w:t>
      </w:r>
      <w:r w:rsidR="00B37D5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участникам закупок</w:t>
      </w:r>
      <w:r w:rsidR="004A6F3B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7D5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1946A1E" w14:textId="5D1B37D2" w:rsidR="00BF3F76" w:rsidRPr="00D84F1A" w:rsidRDefault="002F1C97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="00BF3F7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BF3F7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контрактной системе участник закупки должен соответствовать </w:t>
      </w:r>
      <w:hyperlink r:id="rId5" w:anchor="dst1166" w:history="1">
        <w:r w:rsidR="00BF3F76" w:rsidRPr="00D84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требованиям</w:t>
        </w:r>
      </w:hyperlink>
      <w:r w:rsidR="00BF3F7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379DE606" w14:textId="0B0C8383" w:rsidR="006B5C79" w:rsidRPr="00D84F1A" w:rsidRDefault="00BF3F76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норм Г</w:t>
      </w:r>
      <w:r w:rsidR="00C50156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ражданского кодекса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следует, что 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 выписках из ЕГРЮЛ и</w:t>
      </w:r>
      <w:r w:rsidR="002F1C97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ЕГРИП</w:t>
      </w:r>
      <w:r w:rsidR="00E822F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B1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 кодов</w:t>
      </w:r>
      <w:r w:rsidR="00E822F0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ОКВЭД</w:t>
      </w:r>
      <w:r w:rsidR="008F3B1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B1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осуществляемым видам предпринимательской деятельности</w:t>
      </w:r>
      <w:r w:rsidR="002A24B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B1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</w:t>
      </w:r>
      <w:r w:rsidR="008F3B1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ведения </w:t>
      </w:r>
      <w:r w:rsidR="006B5C7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влияет</w:t>
      </w:r>
      <w:r w:rsidR="0090418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E744D5" w14:textId="46190807" w:rsidR="00C50156" w:rsidRPr="00D84F1A" w:rsidRDefault="00E73FE1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тем, т</w:t>
      </w:r>
      <w:r w:rsidR="00C5015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ребовани</w:t>
      </w:r>
      <w:r w:rsidR="002F1C97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5015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заказчиком от участника закупки предоставления иных документов и информации, за исключением предусмотренных, 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 о контрактной системе </w:t>
      </w:r>
      <w:r w:rsidR="00C50156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допускается.</w:t>
      </w:r>
    </w:p>
    <w:p w14:paraId="51E5FCF2" w14:textId="0A320EA4" w:rsidR="000D287C" w:rsidRPr="00D84F1A" w:rsidRDefault="000D287C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Из изложенного следует, что на сегодняшний день при рассмотрении</w:t>
      </w:r>
      <w:r w:rsidR="0050099F"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заказчиками</w:t>
      </w: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заяв</w:t>
      </w:r>
      <w:r w:rsidR="008D6D68"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ок</w:t>
      </w: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на участие в торгах, в случа</w:t>
      </w:r>
      <w:r w:rsidR="008D6D68"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е</w:t>
      </w: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отсутствия</w:t>
      </w:r>
      <w:r w:rsidR="00630092"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у хозяйствующих субъектов</w:t>
      </w: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 xml:space="preserve"> в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выписках из ЕГРЮЛ и</w:t>
      </w:r>
      <w:r w:rsidR="00E73FE1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ЕГРИП соответствующего предмету </w:t>
      </w:r>
      <w:r w:rsidR="00630092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закупки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кода ОКВЭД, не представляется возможным установить, осуществляет ли </w:t>
      </w:r>
      <w:r w:rsidR="00630092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потенциальный участник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D6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необходимый для исполнения контракта вид деятельности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является ли целью его участия </w:t>
      </w:r>
      <w:r w:rsidR="008D6D6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победа на торгах.</w:t>
      </w:r>
    </w:p>
    <w:p w14:paraId="59C411A6" w14:textId="313A8AA4" w:rsidR="000D287C" w:rsidRPr="00D84F1A" w:rsidRDefault="00531D92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Исключением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согласно ч. 2 ст. 31 Закона о контрактной системе,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Правительством РФ к участникам закупок отдельных видов товаров, работ, услуг, 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требований</w:t>
      </w:r>
      <w:r w:rsidR="000D287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таких как опыт работы, связанный с предметом контракта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1FFA47F" w14:textId="7FD867BC" w:rsidR="006C16AC" w:rsidRPr="00D84F1A" w:rsidRDefault="00526B8C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ричиной </w:t>
      </w:r>
      <w:r w:rsidR="00C0787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отсутствия такого требования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соответствие код</w:t>
      </w:r>
      <w:r w:rsidR="00630092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ОКВЭД предмету закупки</w:t>
      </w:r>
      <w:r w:rsidR="00F72D65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</w:t>
      </w:r>
      <w:r w:rsidR="00E73FE1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предназначение для классификации и кодирования видов экономической деятельности, заявляемых при 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регистрации</w:t>
      </w:r>
      <w:r w:rsidR="00630092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юридических лиц и индивидуальных предпринимателей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30092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</w:t>
      </w:r>
      <w:r w:rsidR="00630092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C16A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решении задач, связанных с осуществлением государственного статистического наблюдения по видам деятельности за развитием экономических процессов и подготовки статистической информации.</w:t>
      </w:r>
    </w:p>
    <w:p w14:paraId="14CACDA5" w14:textId="0CEB7AF1" w:rsidR="00B25189" w:rsidRPr="00D84F1A" w:rsidRDefault="00B25CDB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Несмотря на это, 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2518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бязанность </w:t>
      </w:r>
      <w:r w:rsidR="001F74B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 </w:t>
      </w:r>
      <w:r w:rsidR="00B2518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r w:rsidR="00630092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518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3 рабочих дней с момента начала ведения новой деятельности</w:t>
      </w:r>
      <w:r w:rsidR="00630092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5189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сообщить в регистрирующую ИФНС об изменении кодов ОКВЭД прямо установлена </w:t>
      </w:r>
      <w:r w:rsidR="00B25189" w:rsidRPr="00D84F1A">
        <w:rPr>
          <w:rFonts w:ascii="Times New Roman" w:hAnsi="Times New Roman" w:cs="Times New Roman"/>
          <w:color w:val="333333"/>
          <w:sz w:val="28"/>
          <w:szCs w:val="28"/>
        </w:rPr>
        <w:t>Федеральн</w:t>
      </w:r>
      <w:r w:rsidR="000E4BBB" w:rsidRPr="00D84F1A">
        <w:rPr>
          <w:rFonts w:ascii="Times New Roman" w:hAnsi="Times New Roman" w:cs="Times New Roman"/>
          <w:color w:val="333333"/>
          <w:sz w:val="28"/>
          <w:szCs w:val="28"/>
        </w:rPr>
        <w:t>ым</w:t>
      </w:r>
      <w:r w:rsidR="00B25189" w:rsidRPr="00D84F1A">
        <w:rPr>
          <w:rFonts w:ascii="Times New Roman" w:hAnsi="Times New Roman" w:cs="Times New Roman"/>
          <w:color w:val="333333"/>
          <w:sz w:val="28"/>
          <w:szCs w:val="28"/>
        </w:rPr>
        <w:t xml:space="preserve"> закон</w:t>
      </w:r>
      <w:r w:rsidR="000E4BBB" w:rsidRPr="00D84F1A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B25189" w:rsidRPr="00D84F1A">
        <w:rPr>
          <w:rFonts w:ascii="Times New Roman" w:hAnsi="Times New Roman" w:cs="Times New Roman"/>
          <w:color w:val="333333"/>
          <w:sz w:val="28"/>
          <w:szCs w:val="28"/>
        </w:rPr>
        <w:t xml:space="preserve"> "О государственной регистрации юридических лиц и индивидуальных предпринимателей".</w:t>
      </w:r>
    </w:p>
    <w:p w14:paraId="3D670EF8" w14:textId="568A3792" w:rsidR="00EA14EB" w:rsidRPr="00D84F1A" w:rsidRDefault="006C16AC" w:rsidP="002D450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333333"/>
          <w:sz w:val="28"/>
          <w:szCs w:val="28"/>
        </w:rPr>
        <w:t>Более того</w:t>
      </w:r>
      <w:r w:rsidR="00EA14EB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14EB" w:rsidRPr="00D84F1A">
        <w:rPr>
          <w:rFonts w:ascii="Times New Roman" w:hAnsi="Times New Roman" w:cs="Times New Roman"/>
          <w:color w:val="363530"/>
          <w:sz w:val="28"/>
          <w:szCs w:val="28"/>
        </w:rPr>
        <w:t xml:space="preserve">ст. 14.25 </w:t>
      </w:r>
      <w:r w:rsidR="00531D92" w:rsidRPr="00D84F1A">
        <w:rPr>
          <w:rFonts w:ascii="Times New Roman" w:hAnsi="Times New Roman" w:cs="Times New Roman"/>
          <w:color w:val="363530"/>
          <w:sz w:val="28"/>
          <w:szCs w:val="28"/>
        </w:rPr>
        <w:t>КоАП РФ</w:t>
      </w:r>
      <w:r w:rsidR="00EA14EB" w:rsidRPr="00D84F1A">
        <w:rPr>
          <w:rFonts w:ascii="Times New Roman" w:hAnsi="Times New Roman" w:cs="Times New Roman"/>
          <w:color w:val="363530"/>
          <w:sz w:val="28"/>
          <w:szCs w:val="28"/>
        </w:rPr>
        <w:t xml:space="preserve"> предусмотрена ответственность за </w:t>
      </w:r>
      <w:r w:rsidR="00630092" w:rsidRPr="00D84F1A">
        <w:rPr>
          <w:rFonts w:ascii="Times New Roman" w:hAnsi="Times New Roman" w:cs="Times New Roman"/>
          <w:color w:val="363530"/>
          <w:sz w:val="28"/>
          <w:szCs w:val="28"/>
        </w:rPr>
        <w:t>отсутствие</w:t>
      </w:r>
      <w:r w:rsidR="006B5C79" w:rsidRPr="00D84F1A">
        <w:rPr>
          <w:rFonts w:ascii="Times New Roman" w:hAnsi="Times New Roman" w:cs="Times New Roman"/>
          <w:color w:val="363530"/>
          <w:sz w:val="28"/>
          <w:szCs w:val="28"/>
        </w:rPr>
        <w:t xml:space="preserve"> в выписках из ЕГРЮЛ и ЕГРИП соответствующего</w:t>
      </w:r>
      <w:r w:rsidR="00EA14EB" w:rsidRPr="00D84F1A">
        <w:rPr>
          <w:rFonts w:ascii="Times New Roman" w:hAnsi="Times New Roman" w:cs="Times New Roman"/>
          <w:color w:val="363530"/>
          <w:sz w:val="28"/>
          <w:szCs w:val="28"/>
        </w:rPr>
        <w:t xml:space="preserve"> </w:t>
      </w:r>
      <w:r w:rsidR="00C869CA" w:rsidRPr="00D84F1A">
        <w:rPr>
          <w:rFonts w:ascii="Times New Roman" w:hAnsi="Times New Roman" w:cs="Times New Roman"/>
          <w:color w:val="363530"/>
          <w:sz w:val="28"/>
          <w:szCs w:val="28"/>
        </w:rPr>
        <w:t>осуществляемому виду предпринимательской деятельности код</w:t>
      </w:r>
      <w:r w:rsidR="00630092" w:rsidRPr="00D84F1A">
        <w:rPr>
          <w:rFonts w:ascii="Times New Roman" w:hAnsi="Times New Roman" w:cs="Times New Roman"/>
          <w:color w:val="363530"/>
          <w:sz w:val="28"/>
          <w:szCs w:val="28"/>
        </w:rPr>
        <w:t>а</w:t>
      </w:r>
      <w:r w:rsidR="00C869CA" w:rsidRPr="00D84F1A">
        <w:rPr>
          <w:rFonts w:ascii="Times New Roman" w:hAnsi="Times New Roman" w:cs="Times New Roman"/>
          <w:color w:val="363530"/>
          <w:sz w:val="28"/>
          <w:szCs w:val="28"/>
        </w:rPr>
        <w:t xml:space="preserve"> </w:t>
      </w:r>
      <w:r w:rsidR="00EA14EB" w:rsidRPr="00D84F1A">
        <w:rPr>
          <w:rFonts w:ascii="Times New Roman" w:hAnsi="Times New Roman" w:cs="Times New Roman"/>
          <w:color w:val="363530"/>
          <w:sz w:val="28"/>
          <w:szCs w:val="28"/>
        </w:rPr>
        <w:t>ОКВЭД:</w:t>
      </w:r>
    </w:p>
    <w:p w14:paraId="35B6191C" w14:textId="77777777" w:rsidR="00EA14EB" w:rsidRPr="00D84F1A" w:rsidRDefault="00EA14EB" w:rsidP="002D450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по ч. 3 – при нарушении сроков уведомления, т.е. когда оно подано позже, чем через три дня. За данное нарушение предусмотрено предупреждение либо штраф для должностного лица или ИП в размере 5000 рублей;</w:t>
      </w:r>
    </w:p>
    <w:p w14:paraId="35C50D18" w14:textId="010E1B5A" w:rsidR="00D20B94" w:rsidRPr="00D84F1A" w:rsidRDefault="00EA14EB" w:rsidP="002D450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</w:pPr>
      <w:r w:rsidRPr="00D84F1A">
        <w:rPr>
          <w:rFonts w:ascii="Times New Roman" w:eastAsia="Times New Roman" w:hAnsi="Times New Roman" w:cs="Times New Roman"/>
          <w:color w:val="363530"/>
          <w:sz w:val="28"/>
          <w:szCs w:val="28"/>
          <w:lang w:eastAsia="ru-RU"/>
        </w:rPr>
        <w:t>по ч. 4 – если уведомление о новом ОКВЭД не было подано вовсе. Штраф за такое нарушение составляет от 5000 до 10 000 рублей.</w:t>
      </w:r>
      <w:r w:rsidR="00D20B94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3EA8814" w14:textId="7DE97A93" w:rsidR="00B25CDB" w:rsidRPr="00D84F1A" w:rsidRDefault="00B25CDB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Основной причиной </w:t>
      </w:r>
      <w:r w:rsidR="00630092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подобных нарушений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сознательное уклонение от налогов с основного источника доходов, что несомненно указывает на недобросовестность таких организаций, в противодействие которым</w:t>
      </w:r>
      <w:r w:rsidR="00C869CA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установлены различные требования в 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31 Закона о контрактной системе, не исключающие возможность ведения организациями предпринимательской деятельности.</w:t>
      </w:r>
    </w:p>
    <w:p w14:paraId="64AA8875" w14:textId="5E1FC25F" w:rsidR="00EA14EB" w:rsidRPr="00D84F1A" w:rsidRDefault="00B25CDB" w:rsidP="0063009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этом, срок привлечения к административной ответственности за </w:t>
      </w:r>
      <w:r w:rsidR="00630092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</w:t>
      </w:r>
      <w:r w:rsidR="00C869CA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правонарушение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согласно ст. 4.5 КоАП РФ – два месяца</w:t>
      </w:r>
      <w:r w:rsidR="0068400C" w:rsidRPr="00D84F1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 в</w:t>
      </w:r>
      <w:r w:rsidR="00232343" w:rsidRPr="00D84F1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связи с чем считаю, что возможное привлечение к административной ответственности </w:t>
      </w:r>
      <w:r w:rsidR="00C869CA" w:rsidRPr="00D84F1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 нарушение</w:t>
      </w:r>
      <w:r w:rsidR="00232343" w:rsidRPr="00D84F1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ст. 14.25 КоАП РФ является скорее фантомной угрозой, чем реальной.</w:t>
      </w:r>
    </w:p>
    <w:p w14:paraId="335475C4" w14:textId="04AA8B2F" w:rsidR="00382C07" w:rsidRPr="00D84F1A" w:rsidRDefault="00526B8C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="00996322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0C00A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хозяйствующих субъектов</w:t>
      </w:r>
      <w:r w:rsidR="00F6124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13D7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C00A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закупк</w:t>
      </w:r>
      <w:r w:rsidR="00D474FA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 помимо желания</w:t>
      </w:r>
      <w:r w:rsidR="00F6124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4FA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заключения и исполнения контракта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отметить следующие</w:t>
      </w:r>
      <w:r w:rsidR="00B37D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8ABEAE1" w14:textId="1DAA2B0C" w:rsidR="00716D0D" w:rsidRPr="00D84F1A" w:rsidRDefault="00AE4687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Во-первых, </w:t>
      </w:r>
      <w:r w:rsidR="00E3579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E3579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подобных организаций</w:t>
      </w:r>
      <w:r w:rsidR="00E35790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быть 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недобросовестное участие в </w:t>
      </w:r>
      <w:r w:rsidR="00D474FA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торгах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74FA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0157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</w:t>
      </w:r>
      <w:r w:rsidR="00D474FA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различного вознаграждения за обеспечение победы определенной фирме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</w:t>
      </w:r>
      <w:proofErr w:type="spellEnd"/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«тендерное </w:t>
      </w:r>
      <w:proofErr w:type="spellStart"/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рейдерство</w:t>
      </w:r>
      <w:proofErr w:type="spellEnd"/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которое является одной из самых распространенных проблем при проведении закупок.</w:t>
      </w:r>
    </w:p>
    <w:p w14:paraId="6613DFCA" w14:textId="132C3546" w:rsidR="000A2B1A" w:rsidRPr="00D84F1A" w:rsidRDefault="00A26F91" w:rsidP="002D4506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Одобрени</w:t>
      </w:r>
      <w:r w:rsidR="00716D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6D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подобных заявок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201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</w:t>
      </w:r>
      <w:r w:rsidR="00716D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овится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причиной подачи жалоб в </w:t>
      </w:r>
      <w:r w:rsidR="00A6201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антимонопольный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орган, в </w:t>
      </w:r>
      <w:r w:rsidR="00812EF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результате чего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43FD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</w:t>
      </w:r>
      <w:r w:rsidR="00A22D8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0943FD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торгов и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44B6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определение контрагента в части 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заключения контракта </w:t>
      </w:r>
      <w:r w:rsidR="000A2B1A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приостанавливается</w:t>
      </w:r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r w:rsidR="00E73FE1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proofErr w:type="gramStart"/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рассмотрения</w:t>
      </w:r>
      <w:proofErr w:type="gramEnd"/>
      <w:r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существу</w:t>
      </w:r>
      <w:r w:rsidR="00526B8C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17EC277A" w14:textId="5CEC0B4F" w:rsidR="000A2B1A" w:rsidRPr="00D84F1A" w:rsidRDefault="00A26F91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 настоящий момент 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компетентными органами </w:t>
      </w:r>
      <w:r w:rsidR="004A3E84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готовится</w:t>
      </w:r>
      <w:r w:rsidR="000A2B1A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второй крупный пакет поправок </w:t>
      </w:r>
      <w:r w:rsidR="000A2B1A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Закона о контрактной системе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– так называемый «осенний»</w:t>
      </w:r>
      <w:r w:rsidR="004A3E84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 который планировалось успеть подготовить до конца 2019 года, однако</w:t>
      </w:r>
      <w:r w:rsidR="004A3E8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D8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множеству причин </w:t>
      </w:r>
      <w:r w:rsidR="0088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="00A22D8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удалось</w:t>
      </w:r>
      <w:r w:rsidR="004A3E8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2EF8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чем </w:t>
      </w:r>
      <w:r w:rsidR="004A3E84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рассмотрение он будет направлен только в 2020 году.</w:t>
      </w:r>
    </w:p>
    <w:p w14:paraId="023C366C" w14:textId="383D4EAE" w:rsidR="004A3E84" w:rsidRPr="00D84F1A" w:rsidRDefault="004A3E84" w:rsidP="002D4506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законопроектом предусмотрено ужесточение механизмов борьбы с профессиональными жалобщиками. Для защиты заказчиков от срыва закупок предлагается ввести универсальную </w:t>
      </w:r>
      <w:proofErr w:type="spellStart"/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предквалификацию</w:t>
      </w:r>
      <w:proofErr w:type="spellEnd"/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(наличие опыта исполнения госконтракта) при закупке </w:t>
      </w:r>
      <w:r w:rsidR="000943FD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</w:t>
      </w:r>
      <w:r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20 000 000 рублей.</w:t>
      </w:r>
      <w:r w:rsidR="007C68E1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этого, до подачи ценовых предложений подавать жалобы смогут только поставщики с опытом.</w:t>
      </w:r>
    </w:p>
    <w:p w14:paraId="431FC935" w14:textId="2155EEA7" w:rsidR="00A36575" w:rsidRPr="00D84F1A" w:rsidRDefault="00A26F91" w:rsidP="002D4506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68E1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з проведенного мониторинга информации о завершенных закупках по 44-ФЗ в 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Единой информационной систем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474FA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 состоянию на 07.12.2019 г.</w:t>
      </w:r>
      <w:r w:rsidR="00D474FA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26B8C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установлено следующее.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2019 году </w:t>
      </w:r>
      <w:r w:rsidR="00A3657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всеми субъектами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Российской Федерации по 44-ФЗ проведено более 2 </w:t>
      </w:r>
      <w:r w:rsidR="00D541A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00 000 торгов, из них: </w:t>
      </w:r>
    </w:p>
    <w:p w14:paraId="44157F02" w14:textId="77777777" w:rsidR="00A36575" w:rsidRPr="00D84F1A" w:rsidRDefault="00A36575" w:rsidP="002D4506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6201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НМЦК превышает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20 000 000 рублей в более чем 37 000 проведенных торгов; </w:t>
      </w:r>
    </w:p>
    <w:p w14:paraId="24BFA763" w14:textId="77777777" w:rsidR="00D541A5" w:rsidRPr="00D84F1A" w:rsidRDefault="00A36575" w:rsidP="002D4506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- НМЦК менее 20 000 000 рублей в более чем 2 </w:t>
      </w:r>
      <w:r w:rsidR="00D541A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00</w:t>
      </w:r>
      <w:r w:rsidR="00D541A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000</w:t>
      </w:r>
      <w:r w:rsidR="00D541A5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проведенных торгов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9303F65" w14:textId="54FAF632" w:rsidR="001360A3" w:rsidRPr="00D84F1A" w:rsidRDefault="00D541A5" w:rsidP="00A22D8C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С учетом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изложенного</w:t>
      </w: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26B8C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26B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днозначно о</w:t>
      </w:r>
      <w:r w:rsidR="00526B8C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пределить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насколько 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заказчики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будут 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защищены от срыва закупок при введении 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предлагаемых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изменений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в настоящий момент не представляется возможным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так как </w:t>
      </w:r>
      <w:r w:rsidR="00A22D8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возможности </w:t>
      </w:r>
      <w:r w:rsidR="00B720A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</w:t>
      </w:r>
      <w:r w:rsidR="00A22D8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жалобы до проведения торгов не исключает её подачу после завершения подачи ценовых предложений,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 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согласно 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указанной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статистике, основанной на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информации из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Единой информационной </w:t>
      </w:r>
      <w:r w:rsidR="00C344B6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системы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44B6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начальная (максимальная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 цена контрактов существенно</w:t>
      </w:r>
      <w:r w:rsidR="00812EF8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2EF8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части</w:t>
      </w:r>
      <w:r w:rsidR="001360A3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закупок менее 20 000 000 рублей</w:t>
      </w:r>
      <w:r w:rsidR="00A22D8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C4394DA" w14:textId="52AAD158" w:rsidR="003F0931" w:rsidRPr="00D84F1A" w:rsidRDefault="009C5B2E" w:rsidP="002D4506">
      <w:pPr>
        <w:shd w:val="clear" w:color="auto" w:fill="FFFFFF"/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F0931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роблема борьбы с </w:t>
      </w:r>
      <w:r w:rsidR="0001141D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рей</w:t>
      </w:r>
      <w:r w:rsidR="000943FD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01141D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ерами</w:t>
      </w:r>
      <w:r w:rsidR="00707D3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 указанных обстоятельствах</w:t>
      </w:r>
      <w:r w:rsidR="003F0931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по-прежнему </w:t>
      </w:r>
      <w:r w:rsidR="00B720AC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может остаться</w:t>
      </w:r>
      <w:r w:rsidR="003F0931" w:rsidRPr="00D84F1A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актуальной.</w:t>
      </w:r>
    </w:p>
    <w:p w14:paraId="3E42C845" w14:textId="43EC5A2C" w:rsidR="00F841B9" w:rsidRPr="00D84F1A" w:rsidRDefault="00D474FA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Следующей</w:t>
      </w:r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причиной участия в торгах может являться реализация хозяйствующими субъектами заключенного </w:t>
      </w:r>
      <w:proofErr w:type="spellStart"/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антиконкурентного</w:t>
      </w:r>
      <w:proofErr w:type="spellEnd"/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соглашения.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F4BCD33" w14:textId="3625BF94" w:rsidR="00B720AC" w:rsidRPr="00D84F1A" w:rsidRDefault="00B720AC" w:rsidP="00B720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</w:rPr>
        <w:t>Борьба с картелями является одним из важнейших направлений деятельности ФАС России, в связи с чем Управлением ведется целенаправленная работа по выявлению и пресечению картелей во всех сферах российской экономики, включая сферу дорожного строительства,</w:t>
      </w:r>
      <w:r w:rsidR="0042045C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F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которая является одним из приоритетных направлений Национального плана развития конкуренции, что подчеркивает важность и значимость деятельности</w:t>
      </w:r>
      <w:r w:rsidR="0042045C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F1A">
        <w:rPr>
          <w:rFonts w:ascii="Times New Roman" w:hAnsi="Times New Roman" w:cs="Times New Roman"/>
          <w:color w:val="000000"/>
          <w:sz w:val="28"/>
          <w:szCs w:val="28"/>
        </w:rPr>
        <w:t>по выявлению и пресечению картельных соглашений.</w:t>
      </w:r>
    </w:p>
    <w:p w14:paraId="5D4C32F5" w14:textId="77777777" w:rsidR="00B720AC" w:rsidRPr="00D84F1A" w:rsidRDefault="00B720AC" w:rsidP="00526B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18B4635" w14:textId="261F1728" w:rsidR="00F841B9" w:rsidRPr="00D84F1A" w:rsidRDefault="008E4E55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рассмотрения 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Управлением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 о нарушении антимонопольного законодательства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возбужденн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признакам нарушения </w:t>
      </w:r>
      <w:r w:rsidR="00F841B9" w:rsidRPr="00D84F1A">
        <w:rPr>
          <w:rFonts w:ascii="Times New Roman" w:hAnsi="Times New Roman" w:cs="Times New Roman"/>
          <w:sz w:val="28"/>
          <w:szCs w:val="28"/>
        </w:rPr>
        <w:t>пункта 2 части 1 статьи 11 Закона «О защите конкуренции», выразивш</w:t>
      </w:r>
      <w:r w:rsidR="008E033D" w:rsidRPr="00D84F1A">
        <w:rPr>
          <w:rFonts w:ascii="Times New Roman" w:hAnsi="Times New Roman" w:cs="Times New Roman"/>
          <w:sz w:val="28"/>
          <w:szCs w:val="28"/>
        </w:rPr>
        <w:t>ихся</w:t>
      </w:r>
      <w:r w:rsidR="00F841B9" w:rsidRPr="00D84F1A">
        <w:rPr>
          <w:rFonts w:ascii="Times New Roman" w:hAnsi="Times New Roman" w:cs="Times New Roman"/>
          <w:sz w:val="28"/>
          <w:szCs w:val="28"/>
        </w:rPr>
        <w:t xml:space="preserve"> в</w:t>
      </w:r>
      <w:r w:rsidR="00F841B9" w:rsidRPr="00D84F1A">
        <w:rPr>
          <w:rFonts w:ascii="Times New Roman" w:eastAsia="Arial" w:hAnsi="Times New Roman" w:cs="Times New Roman"/>
          <w:sz w:val="28"/>
          <w:szCs w:val="28"/>
        </w:rPr>
        <w:t xml:space="preserve"> заключении и участии в соглашени</w:t>
      </w:r>
      <w:r w:rsidR="008E033D" w:rsidRPr="00D84F1A">
        <w:rPr>
          <w:rFonts w:ascii="Times New Roman" w:eastAsia="Arial" w:hAnsi="Times New Roman" w:cs="Times New Roman"/>
          <w:sz w:val="28"/>
          <w:szCs w:val="28"/>
        </w:rPr>
        <w:t>ях</w:t>
      </w:r>
      <w:r w:rsidR="00F841B9" w:rsidRPr="00D84F1A">
        <w:rPr>
          <w:rFonts w:ascii="Times New Roman" w:eastAsia="Arial" w:hAnsi="Times New Roman" w:cs="Times New Roman"/>
          <w:sz w:val="28"/>
          <w:szCs w:val="28"/>
        </w:rPr>
        <w:t>, котор</w:t>
      </w:r>
      <w:r w:rsidR="008E033D" w:rsidRPr="00D84F1A">
        <w:rPr>
          <w:rFonts w:ascii="Times New Roman" w:eastAsia="Arial" w:hAnsi="Times New Roman" w:cs="Times New Roman"/>
          <w:sz w:val="28"/>
          <w:szCs w:val="28"/>
        </w:rPr>
        <w:t>ы</w:t>
      </w:r>
      <w:r w:rsidR="00F841B9" w:rsidRPr="00D84F1A">
        <w:rPr>
          <w:rFonts w:ascii="Times New Roman" w:eastAsia="Arial" w:hAnsi="Times New Roman" w:cs="Times New Roman"/>
          <w:sz w:val="28"/>
          <w:szCs w:val="28"/>
        </w:rPr>
        <w:t>е привел</w:t>
      </w:r>
      <w:r w:rsidR="008E033D" w:rsidRPr="00D84F1A">
        <w:rPr>
          <w:rFonts w:ascii="Times New Roman" w:eastAsia="Arial" w:hAnsi="Times New Roman" w:cs="Times New Roman"/>
          <w:sz w:val="28"/>
          <w:szCs w:val="28"/>
        </w:rPr>
        <w:t>и</w:t>
      </w:r>
      <w:r w:rsidR="00F841B9" w:rsidRPr="00D84F1A">
        <w:rPr>
          <w:rFonts w:ascii="Times New Roman" w:eastAsia="Arial" w:hAnsi="Times New Roman" w:cs="Times New Roman"/>
          <w:sz w:val="28"/>
          <w:szCs w:val="28"/>
        </w:rPr>
        <w:t xml:space="preserve"> к поддержанию цен </w:t>
      </w:r>
      <w:r w:rsidR="00F841B9" w:rsidRPr="00D84F1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8E033D" w:rsidRPr="00D84F1A">
        <w:rPr>
          <w:rFonts w:ascii="Times New Roman" w:hAnsi="Times New Roman" w:cs="Times New Roman"/>
          <w:sz w:val="28"/>
          <w:szCs w:val="28"/>
        </w:rPr>
        <w:t>торгов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организаци</w:t>
      </w:r>
      <w:r w:rsidR="007E4F31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указывалось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он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необходим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исполнения контракта вида деятельности, в связи с чем не явля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конкурент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C546C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закупки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доказательство данного факта представител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F841B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</w:t>
      </w:r>
      <w:r w:rsidR="0001141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лась</w:t>
      </w:r>
      <w:r w:rsidR="008E033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выписка из ЕГРЮЛ с указанием на то, что в ней отсутствует код ОКВЭД, соответствующий предмету закупки.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9D21571" w14:textId="6CE16220" w:rsidR="00130A6A" w:rsidRPr="00D84F1A" w:rsidRDefault="003A525B" w:rsidP="002D4506">
      <w:pPr>
        <w:suppressAutoHyphens/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становленные </w:t>
      </w:r>
      <w:r w:rsidR="0042045C" w:rsidRPr="00D84F1A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42045C" w:rsidRPr="00D84F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="0042045C" w:rsidRPr="00D84F1A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</w:t>
      </w:r>
      <w:proofErr w:type="spellStart"/>
      <w:r w:rsidR="0042045C" w:rsidRPr="00D84F1A">
        <w:rPr>
          <w:rFonts w:ascii="Times New Roman" w:eastAsia="Times New Roman" w:hAnsi="Times New Roman" w:cs="Times New Roman"/>
          <w:sz w:val="28"/>
          <w:szCs w:val="28"/>
        </w:rPr>
        <w:t>антиконкурентных</w:t>
      </w:r>
      <w:proofErr w:type="spellEnd"/>
      <w:r w:rsidR="0042045C" w:rsidRPr="00D84F1A">
        <w:rPr>
          <w:rFonts w:ascii="Times New Roman" w:eastAsia="Times New Roman" w:hAnsi="Times New Roman" w:cs="Times New Roman"/>
          <w:sz w:val="28"/>
          <w:szCs w:val="28"/>
        </w:rPr>
        <w:t xml:space="preserve"> соглашений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связаны со следующими сферами деятельности:</w:t>
      </w:r>
    </w:p>
    <w:p w14:paraId="6B98E99E" w14:textId="77777777" w:rsidR="00526B8C" w:rsidRDefault="00526B8C" w:rsidP="00AF7A8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инженерно-техническому проектированию туннелей, автомагистралей, улиц, транспортных развязок и подобных объектов </w:t>
      </w:r>
      <w:r w:rsidR="00C344B6" w:rsidRPr="00D84F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137 000 000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4F2BEB9B" w14:textId="77777777" w:rsidR="00526B8C" w:rsidRDefault="00526B8C" w:rsidP="00AF7A8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поставка работающих в автоматическом режиме стационарных специальных технических средств, имеющих функции фотосъемки и видеозаписи, фиксации административных правонарушени</w:t>
      </w:r>
      <w:r w:rsidR="00C344B6" w:rsidRPr="00D84F1A">
        <w:rPr>
          <w:rFonts w:ascii="Times New Roman" w:eastAsia="Times New Roman" w:hAnsi="Times New Roman" w:cs="Times New Roman"/>
          <w:sz w:val="28"/>
          <w:szCs w:val="28"/>
        </w:rPr>
        <w:t>й в области дорожного движения (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47 800 178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‬ рублей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104742D0" w14:textId="77777777" w:rsidR="00526B8C" w:rsidRDefault="00526B8C" w:rsidP="00AF7A8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поставка мебели для классных комнат блока начального образования </w:t>
      </w:r>
      <w:r w:rsidR="00C344B6" w:rsidRPr="00D84F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38 000 000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73E7EE07" w14:textId="77777777" w:rsidR="00526B8C" w:rsidRDefault="00526B8C" w:rsidP="00AF7A8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7A88" w:rsidRPr="00D84F1A">
        <w:rPr>
          <w:rFonts w:ascii="Times New Roman" w:eastAsia="Times New Roman" w:hAnsi="Times New Roman" w:cs="Times New Roman"/>
          <w:sz w:val="28"/>
          <w:szCs w:val="28"/>
        </w:rPr>
        <w:t>строительство и ремонт дорог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4B6" w:rsidRPr="00D84F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>37 743 099,75 рублей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37B82078" w14:textId="516BBBB0" w:rsidR="00130A6A" w:rsidRPr="00D84F1A" w:rsidRDefault="00526B8C" w:rsidP="00AF7A8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поставка техники </w:t>
      </w:r>
      <w:r w:rsidR="00AF7A88" w:rsidRPr="00D84F1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30A6A" w:rsidRPr="00D84F1A">
        <w:rPr>
          <w:rFonts w:ascii="Times New Roman" w:eastAsia="Times New Roman" w:hAnsi="Times New Roman" w:cs="Times New Roman"/>
          <w:sz w:val="28"/>
          <w:szCs w:val="28"/>
        </w:rPr>
        <w:t xml:space="preserve"> общего и среднего образования </w:t>
      </w:r>
      <w:r w:rsidR="00C344B6" w:rsidRPr="00D84F1A">
        <w:rPr>
          <w:rFonts w:ascii="Times New Roman" w:eastAsia="Times New Roman" w:hAnsi="Times New Roman" w:cs="Times New Roman"/>
          <w:sz w:val="28"/>
          <w:szCs w:val="28"/>
        </w:rPr>
        <w:t>(17 499 379 рублей).</w:t>
      </w:r>
    </w:p>
    <w:p w14:paraId="66B4C18F" w14:textId="460F5144" w:rsidR="007E4F31" w:rsidRPr="00D84F1A" w:rsidRDefault="00130A6A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1141D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рассмотрения </w:t>
      </w:r>
      <w:r w:rsidR="00AF7A88" w:rsidRPr="00D84F1A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дел </w:t>
      </w:r>
      <w:r w:rsidR="00AF7A88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Воронежским УФАС России </w:t>
      </w:r>
      <w:r w:rsidR="003A525B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вынесены решения о признании организаций виновными в заключении и реализации </w:t>
      </w:r>
      <w:proofErr w:type="spellStart"/>
      <w:r w:rsidRPr="00D84F1A">
        <w:rPr>
          <w:rFonts w:ascii="Times New Roman" w:hAnsi="Times New Roman" w:cs="Times New Roman"/>
          <w:color w:val="000000"/>
          <w:sz w:val="28"/>
          <w:szCs w:val="28"/>
        </w:rPr>
        <w:t>антиконкурентных</w:t>
      </w:r>
      <w:proofErr w:type="spellEnd"/>
      <w:r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</w:t>
      </w:r>
      <w:r w:rsidR="003A525B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выданы предписания о недопущении подобных действий. </w:t>
      </w:r>
      <w:r w:rsidR="003A525B" w:rsidRPr="00D84F1A">
        <w:rPr>
          <w:rFonts w:ascii="Times New Roman" w:hAnsi="Times New Roman" w:cs="Times New Roman"/>
          <w:color w:val="000000"/>
          <w:sz w:val="28"/>
          <w:szCs w:val="28"/>
        </w:rPr>
        <w:t>Также организации</w:t>
      </w:r>
      <w:r w:rsidR="0096272F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25B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96272F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привлечены к административной ответственности в соответствии со ст. 14.32 КоАП РФ и оштрафованы на общую сумму </w:t>
      </w:r>
      <w:r w:rsidR="003A525B" w:rsidRPr="00D84F1A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96272F" w:rsidRPr="00D84F1A">
        <w:rPr>
          <w:rFonts w:ascii="Times New Roman" w:hAnsi="Times New Roman" w:cs="Times New Roman"/>
          <w:color w:val="000000"/>
          <w:sz w:val="28"/>
          <w:szCs w:val="28"/>
        </w:rPr>
        <w:t>7 000 000 рублей</w:t>
      </w:r>
      <w:r w:rsidR="00A9246F" w:rsidRPr="00D84F1A">
        <w:rPr>
          <w:rFonts w:ascii="Times New Roman" w:hAnsi="Times New Roman" w:cs="Times New Roman"/>
          <w:color w:val="000000"/>
          <w:sz w:val="28"/>
          <w:szCs w:val="28"/>
        </w:rPr>
        <w:t>, должностные лица – на 20 000 рублей</w:t>
      </w:r>
      <w:r w:rsidR="00526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369895" w14:textId="54AD869A" w:rsidR="00345821" w:rsidRPr="00D84F1A" w:rsidRDefault="003A525B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 н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есмотря на принят</w:t>
      </w:r>
      <w:r w:rsidR="00A9246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решени</w:t>
      </w:r>
      <w:r w:rsidR="00A9246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выданные предписания</w:t>
      </w:r>
      <w:r w:rsidR="00A9246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привлечени</w:t>
      </w:r>
      <w:r w:rsidR="00D47B84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9246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административной ответственности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данных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организаций по-прежнему, согласно установленным требованиям к участникам</w:t>
      </w:r>
      <w:r w:rsidR="006B0E5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закупок</w:t>
      </w:r>
      <w:r w:rsidR="008E4E5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имеется возможность участия в торгах</w:t>
      </w:r>
      <w:r w:rsidR="00D47B84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034ED5A" w14:textId="77777777" w:rsidR="00526B8C" w:rsidRDefault="003473EC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учетом изложенного,</w:t>
      </w:r>
      <w:r w:rsidR="003D199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одобряя </w:t>
      </w:r>
      <w:r w:rsidR="0070436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рассматриваемого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рода заявки</w:t>
      </w:r>
      <w:r w:rsidR="0070436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участие в торгах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заказчик</w:t>
      </w:r>
      <w:r w:rsidR="00740143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</w:t>
      </w:r>
      <w:r w:rsidR="00740143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3B0B4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ряд 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риск</w:t>
      </w:r>
      <w:r w:rsidR="003B0B4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64FB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именно: </w:t>
      </w:r>
      <w:r w:rsidR="003A525B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приостановление</w:t>
      </w:r>
      <w:r w:rsidR="00764FB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525B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торгов и невозможность </w:t>
      </w:r>
      <w:r w:rsidR="00764FB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заключения контракта до рассмотрения </w:t>
      </w:r>
      <w:r w:rsidR="00197EB7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рейдерской </w:t>
      </w:r>
      <w:r w:rsidR="00764FB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жалобы </w:t>
      </w:r>
      <w:r w:rsidR="00D64E65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антимонопольным</w:t>
      </w:r>
      <w:r w:rsidR="00764FB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органом,</w:t>
      </w:r>
      <w:r w:rsidR="0001141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="00835F0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525B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возможную </w:t>
      </w:r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</w:t>
      </w:r>
      <w:r w:rsidR="0001141D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525B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хозяйствующими субъектами </w:t>
      </w:r>
      <w:proofErr w:type="spellStart"/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антиконкурентного</w:t>
      </w:r>
      <w:proofErr w:type="spellEnd"/>
      <w:r w:rsidR="000B3639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соглашения с целью поддержания цен</w:t>
      </w:r>
      <w:r w:rsidR="00526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671357E" w14:textId="00B8F031" w:rsidR="003D199C" w:rsidRPr="00D84F1A" w:rsidRDefault="00526B8C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473EC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ужесточение требований к участникам закупок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</w:t>
      </w:r>
      <w:r w:rsidR="0021699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699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</w:t>
      </w:r>
      <w:r w:rsidR="0021699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</w:t>
      </w:r>
      <w:r w:rsidR="0021699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D64E6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31 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64E65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16993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99C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системе:</w:t>
      </w:r>
    </w:p>
    <w:p w14:paraId="270D8D9F" w14:textId="16492B40" w:rsidR="00F60138" w:rsidRPr="00D84F1A" w:rsidRDefault="00F60138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пункт 3 части 2 статьи 31 Закона о контрактной системе признать утратившим силу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39D45EB" w14:textId="32C69A3E" w:rsidR="00F60138" w:rsidRPr="00D84F1A" w:rsidRDefault="00F60138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дополнить статью 31 Закона о контрактной системе частью 1.2, в соответствии с которой заказчик 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вправе установить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наличии опыта работы, связанного с предметом контракта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при проведении любого вида закупок</w:t>
      </w:r>
      <w:r w:rsidR="000E79FF" w:rsidRPr="00D84F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не </w:t>
      </w:r>
      <w:r w:rsidR="000E79FF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закупок отдельных видов товаров, работ, услуг, которые осуществляются исключительно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как это было установлено пунктом 3 части 2 статьи 31 Закона о контрактной системе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93C60B5" w14:textId="4EF3D9F4" w:rsidR="00F60138" w:rsidRPr="00D84F1A" w:rsidRDefault="00F60138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дополнить статью 31 Закона о контрактной системе частью 1.3, предусматривающей 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необходимость 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участника закупки в выписках из ЕГРЮЛ и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ЕГРИП кода ОКВЭД, соответствующего предмету закупки;</w:t>
      </w:r>
    </w:p>
    <w:p w14:paraId="2D3D8B5F" w14:textId="2FAE38D3" w:rsidR="0001141D" w:rsidRPr="00D84F1A" w:rsidRDefault="0001141D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дополнить </w:t>
      </w:r>
      <w:r w:rsidR="00F6013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статью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 Закона о контрактной системе </w:t>
      </w:r>
      <w:r w:rsidR="00F6013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частью 1.4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согласно которо</w:t>
      </w:r>
      <w:r w:rsidR="00F6013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заказчик будет вправе установить следующее требование: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013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закупки - юридическое лицо или индивидуальный предприниматель, которое в течение одного года с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6" w:anchor="dst2620" w:history="1">
        <w:r w:rsidR="00F60138" w:rsidRPr="00D84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статьей 14.32</w:t>
        </w:r>
      </w:hyperlink>
      <w:r w:rsidR="00F60138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КоАП РФ;</w:t>
      </w:r>
    </w:p>
    <w:p w14:paraId="6B85A7B6" w14:textId="0FFFAD7B" w:rsidR="005A01EE" w:rsidRPr="00D84F1A" w:rsidRDefault="005A01EE" w:rsidP="002D45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</w:t>
      </w:r>
      <w:r w:rsidR="000E79FF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внесения предложенных изменений будет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 положительный эффект в виде:</w:t>
      </w:r>
    </w:p>
    <w:p w14:paraId="2E9C6765" w14:textId="3C3C5862" w:rsidR="005A01EE" w:rsidRPr="00D84F1A" w:rsidRDefault="001A13C7" w:rsidP="002D450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Существенного с</w:t>
      </w:r>
      <w:r w:rsidR="005A01EE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нижени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5A01EE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количества необоснованных жалоб от рейдеров в связи с невозможностью участия в торгах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установления заказчиком предложенных требований</w:t>
      </w:r>
      <w:r w:rsidR="005A01EE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способствует </w:t>
      </w:r>
      <w:r w:rsidR="005A01EE" w:rsidRPr="00D8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упрощению и ускорению работы в сфере закупок</w:t>
      </w:r>
      <w:r w:rsidR="005A01EE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2178D5A" w14:textId="5F84BCB1" w:rsidR="001A13C7" w:rsidRPr="00D84F1A" w:rsidRDefault="001A13C7" w:rsidP="002D450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Невозможности заключения и реализации </w:t>
      </w:r>
      <w:proofErr w:type="spellStart"/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антиконкурентного</w:t>
      </w:r>
      <w:proofErr w:type="spellEnd"/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соглашения с хозяйствующим субъектом, который не осуществляет соответствующий предмету закупки вид деятельности;</w:t>
      </w:r>
    </w:p>
    <w:p w14:paraId="58DD4C1F" w14:textId="51E32E77" w:rsidR="000B56DE" w:rsidRPr="00D84F1A" w:rsidRDefault="00D40323" w:rsidP="002D450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</w:t>
      </w:r>
      <w:r w:rsidR="00197EB7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еньшени</w:t>
      </w:r>
      <w:r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197EB7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количества нарушений при осуществлении определенного вида деятельности, не включенной в ЕГРЮЛ и ЕГРИП, так как налоговыми органами, как уже было сказано, не всегда удается установить данный факт в короткие сроки для привлечения к административной ответственности.</w:t>
      </w:r>
      <w:r w:rsidR="004E36EE" w:rsidRPr="00D84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Помимо этого, будет получена более точная </w:t>
      </w:r>
      <w:r w:rsidR="004E36EE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статистика по осуществляемым видам деятельности в целях наблюдения за развитием экономических процессов</w:t>
      </w:r>
      <w:r w:rsidR="0052499C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стране</w:t>
      </w:r>
      <w:r w:rsidR="004E36EE" w:rsidRPr="00D84F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0B56DE" w:rsidRPr="00D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7"/>
    <w:multiLevelType w:val="hybridMultilevel"/>
    <w:tmpl w:val="02C6E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3A8B"/>
    <w:multiLevelType w:val="hybridMultilevel"/>
    <w:tmpl w:val="4448D5EC"/>
    <w:lvl w:ilvl="0" w:tplc="BC0A47B4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A02D6B"/>
    <w:multiLevelType w:val="hybridMultilevel"/>
    <w:tmpl w:val="2D9663C6"/>
    <w:lvl w:ilvl="0" w:tplc="1B40BF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F2471"/>
    <w:multiLevelType w:val="multilevel"/>
    <w:tmpl w:val="951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B11DE"/>
    <w:multiLevelType w:val="multilevel"/>
    <w:tmpl w:val="624C5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E"/>
    <w:rsid w:val="000038F9"/>
    <w:rsid w:val="0000500C"/>
    <w:rsid w:val="000069AD"/>
    <w:rsid w:val="0001043E"/>
    <w:rsid w:val="0001141D"/>
    <w:rsid w:val="00022DC4"/>
    <w:rsid w:val="00033087"/>
    <w:rsid w:val="000943FD"/>
    <w:rsid w:val="00094DB9"/>
    <w:rsid w:val="000972AB"/>
    <w:rsid w:val="000A2B1A"/>
    <w:rsid w:val="000B3639"/>
    <w:rsid w:val="000B56DE"/>
    <w:rsid w:val="000B59FF"/>
    <w:rsid w:val="000C00A0"/>
    <w:rsid w:val="000C0338"/>
    <w:rsid w:val="000D2261"/>
    <w:rsid w:val="000D287C"/>
    <w:rsid w:val="000E0D97"/>
    <w:rsid w:val="000E4BBB"/>
    <w:rsid w:val="000E79FF"/>
    <w:rsid w:val="00105622"/>
    <w:rsid w:val="00130A6A"/>
    <w:rsid w:val="001360A3"/>
    <w:rsid w:val="00136BB6"/>
    <w:rsid w:val="001444CC"/>
    <w:rsid w:val="00152DA5"/>
    <w:rsid w:val="00154A79"/>
    <w:rsid w:val="00171792"/>
    <w:rsid w:val="00197EB7"/>
    <w:rsid w:val="001A13C7"/>
    <w:rsid w:val="001C1344"/>
    <w:rsid w:val="001E7C7F"/>
    <w:rsid w:val="001F4C83"/>
    <w:rsid w:val="001F74BC"/>
    <w:rsid w:val="00203D35"/>
    <w:rsid w:val="00216993"/>
    <w:rsid w:val="00232343"/>
    <w:rsid w:val="00241D63"/>
    <w:rsid w:val="00244298"/>
    <w:rsid w:val="00245F98"/>
    <w:rsid w:val="00257995"/>
    <w:rsid w:val="00297299"/>
    <w:rsid w:val="002A24B3"/>
    <w:rsid w:val="002D4506"/>
    <w:rsid w:val="002E776D"/>
    <w:rsid w:val="002F0D04"/>
    <w:rsid w:val="002F1C97"/>
    <w:rsid w:val="00305FEC"/>
    <w:rsid w:val="003132DD"/>
    <w:rsid w:val="00345821"/>
    <w:rsid w:val="003473EC"/>
    <w:rsid w:val="00382C07"/>
    <w:rsid w:val="003902C9"/>
    <w:rsid w:val="003970A6"/>
    <w:rsid w:val="003A525B"/>
    <w:rsid w:val="003A705C"/>
    <w:rsid w:val="003B0B4C"/>
    <w:rsid w:val="003D199C"/>
    <w:rsid w:val="003F0931"/>
    <w:rsid w:val="003F0EDE"/>
    <w:rsid w:val="0040039C"/>
    <w:rsid w:val="00412DF2"/>
    <w:rsid w:val="0042045C"/>
    <w:rsid w:val="0043050E"/>
    <w:rsid w:val="004568E7"/>
    <w:rsid w:val="00460865"/>
    <w:rsid w:val="00481A2F"/>
    <w:rsid w:val="004911B0"/>
    <w:rsid w:val="004A3E84"/>
    <w:rsid w:val="004A53AF"/>
    <w:rsid w:val="004A6F3B"/>
    <w:rsid w:val="004C2F2E"/>
    <w:rsid w:val="004C3684"/>
    <w:rsid w:val="004E36EE"/>
    <w:rsid w:val="004E3835"/>
    <w:rsid w:val="0050004E"/>
    <w:rsid w:val="0050099F"/>
    <w:rsid w:val="00524775"/>
    <w:rsid w:val="0052499C"/>
    <w:rsid w:val="00526B8C"/>
    <w:rsid w:val="00531D92"/>
    <w:rsid w:val="00597D6A"/>
    <w:rsid w:val="005A01EE"/>
    <w:rsid w:val="005B2C41"/>
    <w:rsid w:val="005C420E"/>
    <w:rsid w:val="005C6269"/>
    <w:rsid w:val="005D1024"/>
    <w:rsid w:val="005E0947"/>
    <w:rsid w:val="00626D59"/>
    <w:rsid w:val="00630092"/>
    <w:rsid w:val="00632E68"/>
    <w:rsid w:val="00655605"/>
    <w:rsid w:val="006620D6"/>
    <w:rsid w:val="00675482"/>
    <w:rsid w:val="0068400C"/>
    <w:rsid w:val="006A0CB4"/>
    <w:rsid w:val="006A1415"/>
    <w:rsid w:val="006A740F"/>
    <w:rsid w:val="006B0E58"/>
    <w:rsid w:val="006B5C79"/>
    <w:rsid w:val="006B6130"/>
    <w:rsid w:val="006C16AC"/>
    <w:rsid w:val="00704365"/>
    <w:rsid w:val="00707D3C"/>
    <w:rsid w:val="00716D0D"/>
    <w:rsid w:val="00721122"/>
    <w:rsid w:val="00722627"/>
    <w:rsid w:val="00740143"/>
    <w:rsid w:val="0076048D"/>
    <w:rsid w:val="00764FB8"/>
    <w:rsid w:val="00767DE7"/>
    <w:rsid w:val="00783160"/>
    <w:rsid w:val="007C68E1"/>
    <w:rsid w:val="007E4F31"/>
    <w:rsid w:val="007F0231"/>
    <w:rsid w:val="007F5B4E"/>
    <w:rsid w:val="007F7A20"/>
    <w:rsid w:val="0080446F"/>
    <w:rsid w:val="00812EF8"/>
    <w:rsid w:val="00835F0D"/>
    <w:rsid w:val="008405E3"/>
    <w:rsid w:val="0084708E"/>
    <w:rsid w:val="00847D40"/>
    <w:rsid w:val="008519F9"/>
    <w:rsid w:val="00854039"/>
    <w:rsid w:val="00856516"/>
    <w:rsid w:val="008566E2"/>
    <w:rsid w:val="00863DD0"/>
    <w:rsid w:val="00864CAA"/>
    <w:rsid w:val="0088599B"/>
    <w:rsid w:val="008A24A6"/>
    <w:rsid w:val="008A4C8D"/>
    <w:rsid w:val="008B0F0A"/>
    <w:rsid w:val="008D6D68"/>
    <w:rsid w:val="008E033D"/>
    <w:rsid w:val="008E4E55"/>
    <w:rsid w:val="008E6326"/>
    <w:rsid w:val="008F3B18"/>
    <w:rsid w:val="00904184"/>
    <w:rsid w:val="00917274"/>
    <w:rsid w:val="00922779"/>
    <w:rsid w:val="00924235"/>
    <w:rsid w:val="0094744E"/>
    <w:rsid w:val="0095178F"/>
    <w:rsid w:val="0096272F"/>
    <w:rsid w:val="009847C6"/>
    <w:rsid w:val="00996322"/>
    <w:rsid w:val="009963E8"/>
    <w:rsid w:val="009A17AB"/>
    <w:rsid w:val="009B5154"/>
    <w:rsid w:val="009C5B2E"/>
    <w:rsid w:val="00A22D8C"/>
    <w:rsid w:val="00A26363"/>
    <w:rsid w:val="00A26F91"/>
    <w:rsid w:val="00A36575"/>
    <w:rsid w:val="00A46741"/>
    <w:rsid w:val="00A601A0"/>
    <w:rsid w:val="00A6201C"/>
    <w:rsid w:val="00A6216E"/>
    <w:rsid w:val="00A81B74"/>
    <w:rsid w:val="00A9246F"/>
    <w:rsid w:val="00AB33BA"/>
    <w:rsid w:val="00AC17A4"/>
    <w:rsid w:val="00AD0D7C"/>
    <w:rsid w:val="00AE0157"/>
    <w:rsid w:val="00AE4687"/>
    <w:rsid w:val="00AE709E"/>
    <w:rsid w:val="00AF41A8"/>
    <w:rsid w:val="00AF7A88"/>
    <w:rsid w:val="00B25189"/>
    <w:rsid w:val="00B25CDB"/>
    <w:rsid w:val="00B37D55"/>
    <w:rsid w:val="00B4343A"/>
    <w:rsid w:val="00B46C95"/>
    <w:rsid w:val="00B639B4"/>
    <w:rsid w:val="00B71FDE"/>
    <w:rsid w:val="00B720AC"/>
    <w:rsid w:val="00BB3AB0"/>
    <w:rsid w:val="00BF3F76"/>
    <w:rsid w:val="00C01062"/>
    <w:rsid w:val="00C0787C"/>
    <w:rsid w:val="00C227C5"/>
    <w:rsid w:val="00C344B6"/>
    <w:rsid w:val="00C46875"/>
    <w:rsid w:val="00C50156"/>
    <w:rsid w:val="00C52474"/>
    <w:rsid w:val="00C546CF"/>
    <w:rsid w:val="00C65ECB"/>
    <w:rsid w:val="00C76881"/>
    <w:rsid w:val="00C76A64"/>
    <w:rsid w:val="00C869CA"/>
    <w:rsid w:val="00C934F5"/>
    <w:rsid w:val="00CB1245"/>
    <w:rsid w:val="00CE0D61"/>
    <w:rsid w:val="00D03F3C"/>
    <w:rsid w:val="00D15CBA"/>
    <w:rsid w:val="00D20B94"/>
    <w:rsid w:val="00D31E64"/>
    <w:rsid w:val="00D40323"/>
    <w:rsid w:val="00D474FA"/>
    <w:rsid w:val="00D47B84"/>
    <w:rsid w:val="00D541A5"/>
    <w:rsid w:val="00D57736"/>
    <w:rsid w:val="00D64E65"/>
    <w:rsid w:val="00D73872"/>
    <w:rsid w:val="00D843B4"/>
    <w:rsid w:val="00D84F1A"/>
    <w:rsid w:val="00DB1651"/>
    <w:rsid w:val="00E14173"/>
    <w:rsid w:val="00E16819"/>
    <w:rsid w:val="00E21334"/>
    <w:rsid w:val="00E23D81"/>
    <w:rsid w:val="00E35790"/>
    <w:rsid w:val="00E7097B"/>
    <w:rsid w:val="00E71158"/>
    <w:rsid w:val="00E73FE1"/>
    <w:rsid w:val="00E7417A"/>
    <w:rsid w:val="00E822F0"/>
    <w:rsid w:val="00E82DDD"/>
    <w:rsid w:val="00E84D98"/>
    <w:rsid w:val="00EA0909"/>
    <w:rsid w:val="00EA14EB"/>
    <w:rsid w:val="00EB48A9"/>
    <w:rsid w:val="00EE38AD"/>
    <w:rsid w:val="00F047B2"/>
    <w:rsid w:val="00F355AD"/>
    <w:rsid w:val="00F369FF"/>
    <w:rsid w:val="00F60138"/>
    <w:rsid w:val="00F61240"/>
    <w:rsid w:val="00F66E30"/>
    <w:rsid w:val="00F72D65"/>
    <w:rsid w:val="00F839DF"/>
    <w:rsid w:val="00F841B9"/>
    <w:rsid w:val="00F94731"/>
    <w:rsid w:val="00FA3083"/>
    <w:rsid w:val="00FA51EE"/>
    <w:rsid w:val="00FC0FE4"/>
    <w:rsid w:val="00FC3717"/>
    <w:rsid w:val="00FC543B"/>
    <w:rsid w:val="00FE13D7"/>
    <w:rsid w:val="00FE5B67"/>
    <w:rsid w:val="00FF73D4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D31"/>
  <w15:docId w15:val="{D19EB145-584B-4967-838C-0C10DB94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B56D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6DE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E74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F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39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278/f61ff313afecf81a91a43d729c2df55c1d6a1533/" TargetMode="External"/><Relationship Id="rId5" Type="http://schemas.openxmlformats.org/officeDocument/2006/relationships/hyperlink" Target="http://www.consultant.ru/document/cons_doc_LAW_320453/8ccb9567831efe2fafd74840d4401cdf2e6471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GAMLET MELKUMIAN</dc:creator>
  <cp:keywords/>
  <dc:description/>
  <cp:lastModifiedBy>Ольга Анатольевна Шендрик</cp:lastModifiedBy>
  <cp:revision>2</cp:revision>
  <cp:lastPrinted>2019-12-10T06:34:00Z</cp:lastPrinted>
  <dcterms:created xsi:type="dcterms:W3CDTF">2019-12-12T07:00:00Z</dcterms:created>
  <dcterms:modified xsi:type="dcterms:W3CDTF">2019-12-12T07:00:00Z</dcterms:modified>
</cp:coreProperties>
</file>